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Automation Workshop (EDI / Order Flow) — Minutes</w:t>
      </w:r>
    </w:p>
    <w:p>
      <w:pPr/>
      <w:r>
        <w:t xml:space="preserve">Oct 2, 2026</w:t>
      </w:r>
    </w:p>
    <w:p>
      <w:pPr>
        <w:pStyle w:val="Heading2"/>
      </w:pPr>
      <w:r>
        <w:t xml:space="preserve">Meeting Context</w:t>
      </w:r>
    </w:p>
    <w:p>
      <w:pPr>
        <w:pStyle w:val="ListParagraph"/>
        <w:numPr>
          <w:ilvl w:val="0"/>
          <w:numId w:val="2"/>
        </w:numPr>
      </w:pPr>
      <w:r>
        <w:rPr>
          <w:b/>
        </w:rPr>
        <w:t xml:space="preserve">Meeting:</w:t>
      </w:r>
      <w:r>
        <w:t xml:space="preserve"> Automation workshop — EDI-driven order, pickup, and invoice automation</w:t>
      </w:r>
    </w:p>
    <w:p>
      <w:pPr>
        <w:pStyle w:val="ListParagraph"/>
        <w:numPr>
          <w:ilvl w:val="0"/>
          <w:numId w:val="2"/>
        </w:numPr>
      </w:pPr>
      <w:r>
        <w:rPr>
          <w:b/>
        </w:rPr>
        <w:t xml:space="preserve">Date:</w:t>
      </w:r>
      <w:r>
        <w:t xml:space="preserve"> October 2, 2026</w:t>
      </w:r>
    </w:p>
    <w:p>
      <w:pPr>
        <w:pStyle w:val="ListParagraph"/>
        <w:numPr>
          <w:ilvl w:val="0"/>
          <w:numId w:val="2"/>
        </w:numPr>
      </w:pPr>
      <w:r>
        <w:rPr>
          <w:b/>
        </w:rPr>
        <w:t xml:space="preserve">Attendees:</w:t>
      </w:r>
      <w:r>
        <w:t xml:space="preserve"> Srinivas (Durvah); Eric and Aditya (USME)</w:t>
      </w:r>
    </w:p>
    <w:p>
      <w:pPr>
        <w:pStyle w:val="ListParagraph"/>
        <w:numPr>
          <w:ilvl w:val="0"/>
          <w:numId w:val="2"/>
        </w:numPr>
      </w:pPr>
      <w:r>
        <w:rPr>
          <w:b/>
        </w:rPr>
        <w:t xml:space="preserve">Purpose:</w:t>
      </w:r>
      <w:r>
        <w:t xml:space="preserve"> Define the automation approach for inbound/outbound EDI documents (850, 180, 810) feeding Ascent/Salesforce, and coordinate logistics for an upcoming Durvah site visit to a USME branch/warehouse.</w:t>
      </w:r>
    </w:p>
    <w:p>
      <w:pPr>
        <w:pStyle w:val="Heading2"/>
      </w:pPr>
      <w:r>
        <w:t xml:space="preserve">Executive Summary</w:t>
      </w:r>
    </w:p>
    <w:p>
      <w:pPr/>
      <w:r>
        <w:t xml:space="preserve">The team agreed to leave USME's existing EDI connectivity (trading-partner mapping, AS2 transmission, and the Clio-managed van relationship) untouched, and to automate purely at the handoff point: Workato will act as a native SFTP client against the existing SFTP folder, picking up new files and creating the corresponding Ascent orders/pickups. Inbound 850s become rental delivery orders and inbound 180s become pickups; failures route to the CEC team for manual entry. Item-level mapping will rely on carrying the partner's legacy model ID into the new Item Master during data migration. The group also confirmed logistics for a joint Durvah/Ascent site visit to a USME branch and warehouse, shifted to start after the morning CG4 meeting.</w:t>
      </w:r>
    </w:p>
    <w:p>
      <w:pPr>
        <w:pStyle w:val="Heading2"/>
      </w:pPr>
      <w:r>
        <w:t xml:space="preserve">Key Decisions</w:t>
      </w:r>
    </w:p>
    <w:p>
      <w:pPr>
        <w:pStyle w:val="ListParagraph"/>
        <w:numPr>
          <w:ilvl w:val="0"/>
          <w:numId w:val="3"/>
        </w:numPr>
      </w:pPr>
      <w:r>
        <w:rPr>
          <w:b/>
        </w:rPr>
        <w:t xml:space="preserve">No changes to existing EDI connectivity.</w:t>
      </w:r>
      <w:r>
        <w:t xml:space="preserve"> Trading-partner mapping, AS2 transmission, and the van relationship (handled today by an Azure Logic App and the Clio-managed van) stay exactly as-is; automation only touches the handoff after files land in the existing SFTP folder.</w:t>
      </w:r>
    </w:p>
    <w:p>
      <w:pPr>
        <w:pStyle w:val="ListParagraph"/>
        <w:numPr>
          <w:ilvl w:val="0"/>
          <w:numId w:val="3"/>
        </w:numPr>
      </w:pPr>
      <w:r>
        <w:rPr>
          <w:b/>
        </w:rPr>
        <w:t xml:space="preserve">Workato will act as a native SFTP client</w:t>
      </w:r>
      <w:r>
        <w:t xml:space="preserve">, triggered by a new file drop in the SFTP folder, to extract data and create the corresponding order/pickup in Ascent/Salesforce.</w:t>
      </w:r>
    </w:p>
    <w:p>
      <w:pPr>
        <w:pStyle w:val="ListParagraph"/>
        <w:numPr>
          <w:ilvl w:val="0"/>
          <w:numId w:val="3"/>
        </w:numPr>
      </w:pPr>
      <w:r>
        <w:rPr>
          <w:b/>
        </w:rPr>
        <w:t xml:space="preserve">Clio remains the EDI/AS2 van provider</w:t>
      </w:r>
      <w:r>
        <w:t xml:space="preserve"> (USME pays for it); only one EDI trading partner is in scope today, so only one mapping is needed at this stage.</w:t>
      </w:r>
    </w:p>
    <w:p>
      <w:pPr>
        <w:pStyle w:val="ListParagraph"/>
        <w:numPr>
          <w:ilvl w:val="0"/>
          <w:numId w:val="3"/>
        </w:numPr>
      </w:pPr>
      <w:r>
        <w:rPr>
          <w:b/>
        </w:rPr>
        <w:t xml:space="preserve">Document flow:</w:t>
      </w:r>
      <w:r>
        <w:t xml:space="preserve"> inbound 850 (purchase order) → Ascent rental delivery order; inbound 180 (EDI RMA) → pickup; outbound 810 → invoice (ownership of this piece — this team vs. GT — still to be confirmed).</w:t>
      </w:r>
    </w:p>
    <w:p>
      <w:pPr>
        <w:pStyle w:val="ListParagraph"/>
        <w:numPr>
          <w:ilvl w:val="0"/>
          <w:numId w:val="3"/>
        </w:numPr>
      </w:pPr>
      <w:r>
        <w:rPr>
          <w:b/>
        </w:rPr>
        <w:t xml:space="preserve">Item/model mapping:</w:t>
      </w:r>
      <w:r>
        <w:t xml:space="preserve"> the partner sends a legacy "Go" model ID; this will be carried into the new Item Master during data migration so the model ID maps directly — no separate mapping exercise needed at launch. Deeper item-master-level collaboration with partners is deferred, since each such change becomes its own project on the hospital customer's side with its own PMO queue.</w:t>
      </w:r>
    </w:p>
    <w:p>
      <w:pPr>
        <w:pStyle w:val="ListParagraph"/>
        <w:numPr>
          <w:ilvl w:val="0"/>
          <w:numId w:val="3"/>
        </w:numPr>
      </w:pPr>
      <w:r>
        <w:rPr>
          <w:b/>
        </w:rPr>
        <w:t xml:space="preserve">Exception handling:</w:t>
      </w:r>
      <w:r>
        <w:t xml:space="preserve"> if required data is missing from an inbound 850/180, the system fails the transaction automatically and notifies the CEC team by email with the order details for manual entry.</w:t>
      </w:r>
    </w:p>
    <w:p>
      <w:pPr>
        <w:pStyle w:val="ListParagraph"/>
        <w:numPr>
          <w:ilvl w:val="0"/>
          <w:numId w:val="3"/>
        </w:numPr>
      </w:pPr>
      <w:r>
        <w:rPr>
          <w:b/>
        </w:rPr>
        <w:t xml:space="preserve">Site visit:</w:t>
      </w:r>
      <w:r>
        <w:t xml:space="preserve"> Durvah's Kishor and Srini will join Ascent's Paula for the branch/warehouse site visit, moved from the original 12–1 p.m. slot to after the 9:30–11 a.m. CG4 meeting (starting around 11:00–11:30 a.m.).</w:t>
      </w:r>
    </w:p>
    <w:p>
      <w:pPr>
        <w:pStyle w:val="Heading2"/>
      </w:pPr>
      <w:r>
        <w:t xml:space="preserve">Discussion Topics</w:t>
      </w:r>
    </w:p>
    <w:p>
      <w:pPr>
        <w:pStyle w:val="Heading2"/>
      </w:pPr>
      <w:r>
        <w:t xml:space="preserve">EDI Automation Approach (Workato / SFTP)</w:t>
      </w:r>
    </w:p>
    <w:p>
      <w:pPr>
        <w:pStyle w:val="ListParagraph"/>
        <w:numPr>
          <w:ilvl w:val="0"/>
          <w:numId w:val="4"/>
        </w:numPr>
      </w:pPr>
      <w:r>
        <w:t xml:space="preserve">Current EDI connectivity — trading-partner mapping, AS2 transmission, and the van relationship — is handled today via an Azure Logic App and the Clio-managed van; none of this is being rebuilt.</w:t>
      </w:r>
    </w:p>
    <w:p>
      <w:pPr>
        <w:pStyle w:val="ListParagraph"/>
        <w:numPr>
          <w:ilvl w:val="0"/>
          <w:numId w:val="4"/>
        </w:numPr>
      </w:pPr>
      <w:r>
        <w:t xml:space="preserve">Proposed pattern: Workato watches the existing SFTP folder; a new file drop is the trigger; Workato extracts the data and creates the corresponding order in Ascent/Salesforce — effectively "rewiring the back end" without touching EDI connectivity itself.</w:t>
      </w:r>
    </w:p>
    <w:p>
      <w:pPr>
        <w:pStyle w:val="ListParagraph"/>
        <w:numPr>
          <w:ilvl w:val="0"/>
          <w:numId w:val="4"/>
        </w:numPr>
      </w:pPr>
      <w:r>
        <w:t xml:space="preserve">Standard documents in scope: inbound </w:t>
      </w:r>
      <w:r>
        <w:rPr>
          <w:b/>
        </w:rPr>
        <w:t xml:space="preserve">850</w:t>
      </w:r>
      <w:r>
        <w:t xml:space="preserve"> and </w:t>
      </w:r>
      <w:r>
        <w:rPr>
          <w:b/>
        </w:rPr>
        <w:t xml:space="preserve">180</w:t>
      </w:r>
      <w:r>
        <w:t xml:space="preserve">; outbound </w:t>
      </w:r>
      <w:r>
        <w:rPr>
          <w:b/>
        </w:rPr>
        <w:t xml:space="preserve">855</w:t>
      </w:r>
      <w:r>
        <w:t xml:space="preserve"> (acknowledgment) and </w:t>
      </w:r>
      <w:r>
        <w:rPr>
          <w:b/>
        </w:rPr>
        <w:t xml:space="preserve">810</w:t>
      </w:r>
      <w:r>
        <w:t xml:space="preserve"> (invoice). Ownership of 810/invoice automation (this team vs. GT) still needs to be confirmed.</w:t>
      </w:r>
    </w:p>
    <w:p>
      <w:pPr>
        <w:pStyle w:val="ListParagraph"/>
        <w:numPr>
          <w:ilvl w:val="0"/>
          <w:numId w:val="4"/>
        </w:numPr>
      </w:pPr>
      <w:r>
        <w:t xml:space="preserve">Only one EDI trading partner today, so only one mapping is required at this stage; additional partners would each need their own mapping work later. Eric noted some customers would be willing to send EDI via SFTP transport directly, which is a separate item to consider down the road.</w:t>
      </w:r>
    </w:p>
    <w:p>
      <w:pPr>
        <w:pStyle w:val="ListParagraph"/>
        <w:numPr>
          <w:ilvl w:val="0"/>
          <w:numId w:val="4"/>
        </w:numPr>
      </w:pPr>
      <w:r>
        <w:t xml:space="preserve">Eric to share the current EDI file formats/samples with the Durvah team starting today.</w:t>
      </w:r>
    </w:p>
    <w:p>
      <w:pPr>
        <w:pStyle w:val="Heading2"/>
      </w:pPr>
      <w:r>
        <w:t xml:space="preserve">Order &amp; Pickup Document Flow</w:t>
      </w:r>
    </w:p>
    <w:p>
      <w:pPr>
        <w:pStyle w:val="ListParagraph"/>
        <w:numPr>
          <w:ilvl w:val="0"/>
          <w:numId w:val="5"/>
        </w:numPr>
      </w:pPr>
      <w:r>
        <w:rPr>
          <w:b/>
        </w:rPr>
        <w:t xml:space="preserve">850</w:t>
      </w:r>
      <w:r>
        <w:t xml:space="preserve"> = purchase order → converted into an Ascent rental delivery order.</w:t>
      </w:r>
    </w:p>
    <w:p>
      <w:pPr>
        <w:pStyle w:val="ListParagraph"/>
        <w:numPr>
          <w:ilvl w:val="0"/>
          <w:numId w:val="5"/>
        </w:numPr>
      </w:pPr>
      <w:r>
        <w:rPr>
          <w:b/>
        </w:rPr>
        <w:t xml:space="preserve">180</w:t>
      </w:r>
      <w:r>
        <w:t xml:space="preserve"> = technically an EDI RMA → converted into a pickup.</w:t>
      </w:r>
    </w:p>
    <w:p>
      <w:pPr>
        <w:pStyle w:val="ListParagraph"/>
        <w:numPr>
          <w:ilvl w:val="0"/>
          <w:numId w:val="5"/>
        </w:numPr>
      </w:pPr>
      <w:r>
        <w:rPr>
          <w:b/>
        </w:rPr>
        <w:t xml:space="preserve">810</w:t>
      </w:r>
      <w:r>
        <w:t xml:space="preserve"> = invoice document, sent outbound; ownership (this automation team vs. GT) still to be confirmed.</w:t>
      </w:r>
    </w:p>
    <w:p>
      <w:pPr>
        <w:pStyle w:val="ListParagraph"/>
        <w:numPr>
          <w:ilvl w:val="0"/>
          <w:numId w:val="5"/>
        </w:numPr>
      </w:pPr>
      <w:r>
        <w:t xml:space="preserve">If all required data is present in the inbound 850/180, the order/pickup is created automatically as a straight handoff — no manual review.</w:t>
      </w:r>
    </w:p>
    <w:p>
      <w:pPr>
        <w:pStyle w:val="ListParagraph"/>
        <w:numPr>
          <w:ilvl w:val="0"/>
          <w:numId w:val="5"/>
        </w:numPr>
      </w:pPr>
      <w:r>
        <w:t xml:space="preserve">If required data is missing, the transaction fails automatically and the CEC team is notified by email with the order details, for manual entry.</w:t>
      </w:r>
    </w:p>
    <w:p>
      <w:pPr>
        <w:pStyle w:val="ListParagraph"/>
        <w:numPr>
          <w:ilvl w:val="0"/>
          <w:numId w:val="6"/>
        </w:numPr>
      </w:pPr>
      <w:r>
        <w:rPr>
          <w:b/>
        </w:rPr>
        <w:t xml:space="preserve">PO arriving after a manual order entry:</w:t>
      </w:r>
      <w:r>
        <w:t xml:space="preserve"> when an order is created manually (phone call or portal) and the 850 arrives afterward, the system attempts to </w:t>
      </w:r>
      <w:r>
        <w:rPr>
          <w:b/>
        </w:rPr>
        <w:t xml:space="preserve">update that existing order with the PO number</w:t>
      </w:r>
      <w:r>
        <w:t xml:space="preserve"> from the 850. If the update fails, CEC and billing are notified with the PO information from the 850 so it can be applied manually downstream.</w:t>
      </w:r>
    </w:p>
    <w:p>
      <w:pPr>
        <w:pStyle w:val="Heading2"/>
      </w:pPr>
      <w:r>
        <w:t xml:space="preserve">Item Master / Model ID Mapping</w:t>
      </w:r>
    </w:p>
    <w:p>
      <w:pPr>
        <w:pStyle w:val="ListParagraph"/>
        <w:numPr>
          <w:ilvl w:val="0"/>
          <w:numId w:val="7"/>
        </w:numPr>
      </w:pPr>
      <w:r>
        <w:t xml:space="preserve">The EDI partner sends a legacy "Go" model ID, not a Salesforce/Ascent item reference.</w:t>
      </w:r>
    </w:p>
    <w:p>
      <w:pPr>
        <w:pStyle w:val="ListParagraph"/>
        <w:numPr>
          <w:ilvl w:val="0"/>
          <w:numId w:val="7"/>
        </w:numPr>
      </w:pPr>
      <w:r>
        <w:t xml:space="preserve">Plan: carry the model ID into the new Item Master as part of data migration, so the model ID maps directly from the legacy system to the new system — expected to be straightforward since both systems will share that identifier.</w:t>
      </w:r>
    </w:p>
    <w:p>
      <w:pPr>
        <w:pStyle w:val="ListParagraph"/>
        <w:numPr>
          <w:ilvl w:val="0"/>
          <w:numId w:val="7"/>
        </w:numPr>
      </w:pPr>
      <w:r>
        <w:t xml:space="preserve">A longer-term idea of exposing Item Master data more directly to partners was raised but deferred — each such change becomes its own project on the hospital customer's side, with its own PMO queue and extended timeline, so it's out of scope for now.</w:t>
      </w:r>
    </w:p>
    <w:p>
      <w:pPr>
        <w:pStyle w:val="Heading2"/>
      </w:pPr>
      <w:r>
        <w:t xml:space="preserve">Site Visit Logistics</w:t>
      </w:r>
    </w:p>
    <w:p>
      <w:pPr>
        <w:pStyle w:val="ListParagraph"/>
        <w:numPr>
          <w:ilvl w:val="0"/>
          <w:numId w:val="8"/>
        </w:numPr>
      </w:pPr>
      <w:r>
        <w:t xml:space="preserve">Ascent's Paula has a scheduled visit to a USME branch/warehouse; Durvah's team was invited to join so they can see firsthand the warehouse-side processes they'll be automating.</w:t>
      </w:r>
    </w:p>
    <w:p>
      <w:pPr>
        <w:pStyle w:val="ListParagraph"/>
        <w:numPr>
          <w:ilvl w:val="0"/>
          <w:numId w:val="8"/>
        </w:numPr>
      </w:pPr>
      <w:r>
        <w:t xml:space="preserve">Confirmed attending for Durvah: </w:t>
      </w:r>
      <w:r>
        <w:rPr>
          <w:b/>
        </w:rPr>
        <w:t xml:space="preserve">Kishor and Srini</w:t>
      </w:r>
      <w:r>
        <w:t xml:space="preserve">.</w:t>
      </w:r>
    </w:p>
    <w:p>
      <w:pPr>
        <w:pStyle w:val="ListParagraph"/>
        <w:numPr>
          <w:ilvl w:val="0"/>
          <w:numId w:val="8"/>
        </w:numPr>
      </w:pPr>
      <w:r>
        <w:t xml:space="preserve">Original invite was 12–1 p.m.; moved earlier due to a conflicting schedule — CG4 meeting runs 9:30–11 a.m., with a possible 11–11:30 a.m. follow-up, so the site visit will start around </w:t>
      </w:r>
      <w:r>
        <w:rPr>
          <w:b/>
        </w:rPr>
        <w:t xml:space="preserve">11:00–11:30 a.m.</w:t>
      </w:r>
    </w:p>
    <w:p>
      <w:pPr>
        <w:pStyle w:val="ListParagraph"/>
        <w:numPr>
          <w:ilvl w:val="0"/>
          <w:numId w:val="8"/>
        </w:numPr>
      </w:pPr>
      <w:r>
        <w:t xml:space="preserve">Team will plan to be in the office in time to coordinate right after the CG4 meeting.</w:t>
      </w:r>
    </w:p>
    <w:p>
      <w:pPr>
        <w:pStyle w:val="Heading2"/>
      </w:pPr>
      <w:r>
        <w:t xml:space="preserve">Action Items / Next Steps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Owner</w:t>
            </w:r>
          </w:p>
        </w:tc>
        <w:tc>
          <w:tcPr>
            <w:tcW w:w="3120" w:type="dxa"/>
            <w:shd w:val="clear" w:color="auto" w:fill="F2F2F2"/>
          </w:tcPr>
          <w:p>
            <w:pPr/>
            <w:r>
              <w:t xml:space="preserve">Action</w:t>
            </w:r>
          </w:p>
        </w:tc>
        <w:tc>
          <w:tcPr>
            <w:tcW w:w="3120" w:type="dxa"/>
            <w:shd w:val="clear" w:color="auto" w:fill="F2F2F2"/>
          </w:tcPr>
          <w:p>
            <w:pPr/>
            <w:r>
              <w:t xml:space="preserve">Target</w:t>
            </w:r>
          </w:p>
        </w:tc>
      </w:tr>
      <w:tr>
        <w:tc>
          <w:tcPr>
            <w:tcW w:w="3120" w:type="dxa"/>
          </w:tcPr>
          <w:p>
            <w:pPr/>
            <w:r>
              <w:t xml:space="preserve">Eric</w:t>
            </w:r>
          </w:p>
        </w:tc>
        <w:tc>
          <w:tcPr>
            <w:tcW w:w="3120" w:type="dxa"/>
          </w:tcPr>
          <w:p>
            <w:pPr/>
            <w:r>
              <w:t xml:space="preserve">Share current EDI file samples/specs with the Durvah team for review</w:t>
            </w:r>
          </w:p>
        </w:tc>
        <w:tc>
          <w:tcPr>
            <w:tcW w:w="3120" w:type="dxa"/>
          </w:tcPr>
          <w:p>
            <w:pPr/>
            <w:r>
              <w:t xml:space="preserve">Today</w:t>
            </w:r>
          </w:p>
        </w:tc>
      </w:tr>
      <w:tr>
        <w:tc>
          <w:tcPr>
            <w:tcW w:w="3120" w:type="dxa"/>
          </w:tcPr>
          <w:p>
            <w:pPr/>
            <w:r>
              <w:t xml:space="preserve">Durvah / USME</w:t>
            </w:r>
          </w:p>
        </w:tc>
        <w:tc>
          <w:tcPr>
            <w:tcW w:w="3120" w:type="dxa"/>
          </w:tcPr>
          <w:p>
            <w:pPr/>
            <w:r>
              <w:t xml:space="preserve">Confirm site-visit start time with Sherry/Paula and coordinate right after the CG4 meeting</w:t>
            </w:r>
          </w:p>
        </w:tc>
        <w:tc>
          <w:tcPr>
            <w:tcW w:w="3120" w:type="dxa"/>
          </w:tcPr>
          <w:p>
            <w:pPr/>
            <w:r>
              <w:t xml:space="preserve">Today</w:t>
            </w:r>
          </w:p>
        </w:tc>
      </w:tr>
      <w:tr>
        <w:tc>
          <w:tcPr>
            <w:tcW w:w="3120" w:type="dxa"/>
          </w:tcPr>
          <w:p>
            <w:pPr/>
            <w:r>
              <w:t xml:space="preserve">Kishor, Srini (Durvah)</w:t>
            </w:r>
          </w:p>
        </w:tc>
        <w:tc>
          <w:tcPr>
            <w:tcW w:w="3120" w:type="dxa"/>
          </w:tcPr>
          <w:p>
            <w:pPr/>
            <w:r>
              <w:t xml:space="preserve">Attend the branch/warehouse site visit with Paula (Ascent)</w:t>
            </w:r>
          </w:p>
        </w:tc>
        <w:tc>
          <w:tcPr>
            <w:tcW w:w="3120" w:type="dxa"/>
          </w:tcPr>
          <w:p>
            <w:pPr/>
            <w:r>
              <w:t xml:space="preserve">After CG4 meeting (~11:00–11:30 a.m.)</w:t>
            </w:r>
          </w:p>
        </w:tc>
      </w:tr>
      <w:tr>
        <w:tc>
          <w:tcPr>
            <w:tcW w:w="3120" w:type="dxa"/>
          </w:tcPr>
          <w:p>
            <w:pPr/>
            <w:r>
              <w:t xml:space="preserve">Team</w:t>
            </w:r>
          </w:p>
        </w:tc>
        <w:tc>
          <w:tcPr>
            <w:tcW w:w="3120" w:type="dxa"/>
          </w:tcPr>
          <w:p>
            <w:pPr/>
            <w:r>
              <w:t xml:space="preserve">Confirm ownership of 810/invoice automation (this team vs. GT)</w:t>
            </w:r>
          </w:p>
        </w:tc>
        <w:tc>
          <w:tcPr>
            <w:tcW w:w="3120" w:type="dxa"/>
          </w:tcPr>
          <w:p>
            <w:pPr/>
            <w:r>
              <w:t xml:space="preserve">Open</w:t>
            </w:r>
          </w:p>
        </w:tc>
      </w:tr>
      <w:tr>
        <w:tc>
          <w:tcPr>
            <w:tcW w:w="3120" w:type="dxa"/>
          </w:tcPr>
          <w:p>
            <w:pPr/>
            <w:r>
              <w:t xml:space="preserve">Durvah</w:t>
            </w:r>
          </w:p>
        </w:tc>
        <w:tc>
          <w:tcPr>
            <w:tcW w:w="3120" w:type="dxa"/>
          </w:tcPr>
          <w:p>
            <w:pPr/>
            <w:r>
              <w:t xml:space="preserve">Build the EDI → Ascent/Salesforce automation using Workato's native SFTP client against the existing SFTP folder</w:t>
            </w:r>
          </w:p>
        </w:tc>
        <w:tc>
          <w:tcPr>
            <w:tcW w:w="3120" w:type="dxa"/>
          </w:tcPr>
          <w:p>
            <w:pPr/>
            <w:r>
              <w:t xml:space="preserve">Ongoing</w:t>
            </w:r>
          </w:p>
        </w:tc>
      </w:tr>
      <w:tr>
        <w:tc>
          <w:tcPr>
            <w:tcW w:w="3120" w:type="dxa"/>
          </w:tcPr>
          <w:p>
            <w:pPr/>
            <w:r>
              <w:t xml:space="preserve">Eric / USME IT</w:t>
            </w:r>
          </w:p>
        </w:tc>
        <w:tc>
          <w:tcPr>
            <w:tcW w:w="3120" w:type="dxa"/>
          </w:tcPr>
          <w:p>
            <w:pPr/>
            <w:r>
              <w:t xml:space="preserve">Research Workato's trigger/connector capabilities (incoming email, SFTP, etc.)</w:t>
            </w:r>
          </w:p>
        </w:tc>
        <w:tc>
          <w:tcPr>
            <w:tcW w:w="3120" w:type="dxa"/>
          </w:tcPr>
          <w:p>
            <w:pPr/>
            <w:r>
              <w:t xml:space="preserve">Before next session</w:t>
            </w:r>
          </w:p>
        </w:tc>
      </w:tr>
      <w:tr>
        <w:tc>
          <w:tcPr>
            <w:tcW w:w="3120" w:type="dxa"/>
          </w:tcPr>
          <w:p>
            <w:pPr/>
            <w:r>
              <w:t xml:space="preserve">Durvah / USME IT</w:t>
            </w:r>
          </w:p>
        </w:tc>
        <w:tc>
          <w:tcPr>
            <w:tcW w:w="3120" w:type="dxa"/>
          </w:tcPr>
          <w:p>
            <w:pPr/>
            <w:r>
              <w:t xml:space="preserve">Define rental order / sale order / pickup and the interfaces/APIs each automation will call</w:t>
            </w:r>
          </w:p>
        </w:tc>
        <w:tc>
          <w:tcPr>
            <w:tcW w:w="3120" w:type="dxa"/>
          </w:tcPr>
          <w:p>
            <w:pPr/>
            <w:r>
              <w:t xml:space="preserve">Prerequisite for all rewiring work</w:t>
            </w:r>
          </w:p>
        </w:tc>
      </w:tr>
      <w:tr>
        <w:tc>
          <w:tcPr>
            <w:tcW w:w="3120" w:type="dxa"/>
          </w:tcPr>
          <w:p>
            <w:pPr/>
            <w:r>
              <w:t xml:space="preserve">Durvah</w:t>
            </w:r>
          </w:p>
        </w:tc>
        <w:tc>
          <w:tcPr>
            <w:tcW w:w="3120" w:type="dxa"/>
          </w:tcPr>
          <w:p>
            <w:pPr/>
            <w:r>
              <w:t xml:space="preserve">In next week's project plan, bucket automation work (EDI, Power Automate, RPA) by owner (Durvah vs. USME IT) with target windows</w:t>
            </w:r>
          </w:p>
        </w:tc>
        <w:tc>
          <w:tcPr>
            <w:tcW w:w="3120" w:type="dxa"/>
          </w:tcPr>
          <w:p>
            <w:pPr/>
            <w:r>
              <w:t xml:space="preserve">Next week</w:t>
            </w:r>
          </w:p>
        </w:tc>
      </w:tr>
      <w:tr>
        <w:tc>
          <w:tcPr>
            <w:tcW w:w="3120" w:type="dxa"/>
          </w:tcPr>
          <w:p>
            <w:pPr/>
            <w:r>
              <w:t xml:space="preserve">Ascent team</w:t>
            </w:r>
          </w:p>
        </w:tc>
        <w:tc>
          <w:tcPr>
            <w:tcW w:w="3120" w:type="dxa"/>
          </w:tcPr>
          <w:p>
            <w:pPr/>
            <w:r>
              <w:t xml:space="preserve">Provide full Workato license/connector breakdown to confirm cost</w:t>
            </w:r>
          </w:p>
        </w:tc>
        <w:tc>
          <w:tcPr>
            <w:tcW w:w="3120" w:type="dxa"/>
          </w:tcPr>
          <w:p>
            <w:pPr/>
            <w:r>
              <w:t xml:space="preserve">Open</w:t>
            </w:r>
          </w:p>
        </w:tc>
      </w:tr>
    </w:tbl>
    <w:p>
      <w:pPr>
        <w:pStyle w:val="Heading2"/>
      </w:pPr>
      <w:r>
        <w:t xml:space="preserve">Open Items / Parking Lot</w:t>
      </w:r>
    </w:p>
    <w:p>
      <w:pPr>
        <w:pStyle w:val="ListParagraph"/>
        <w:numPr>
          <w:ilvl w:val="0"/>
          <w:numId w:val="9"/>
        </w:numPr>
      </w:pPr>
      <w:r>
        <w:t xml:space="preserve">Confirm who owns 810 (invoice) automation — this automation workstream or the GT billing integration track.</w:t>
      </w:r>
    </w:p>
    <w:p>
      <w:pPr>
        <w:pStyle w:val="ListParagraph"/>
        <w:numPr>
          <w:ilvl w:val="0"/>
          <w:numId w:val="9"/>
        </w:numPr>
      </w:pPr>
      <w:r>
        <w:t xml:space="preserve">Confirm whether/when additional EDI trading partners beyond the current one will need separate mappings, including the possibility of SFTP-based EDI transport for customers willing to send files that way.</w:t>
      </w:r>
    </w:p>
    <w:p>
      <w:pPr>
        <w:pStyle w:val="ListParagraph"/>
        <w:numPr>
          <w:ilvl w:val="0"/>
          <w:numId w:val="9"/>
        </w:numPr>
      </w:pPr>
      <w:r>
        <w:t xml:space="preserve">Longer-term: whether/when to expose Item Master data more directly to hospital partners — deferred, dependent on each partner's own PMO timeline.</w:t>
      </w:r>
    </w:p>
    <w:p>
      <w:pPr>
        <w:pStyle w:val="ListParagraph"/>
        <w:numPr>
          <w:ilvl w:val="0"/>
          <w:numId w:val="9"/>
        </w:numPr>
      </w:pPr>
      <w:r>
        <w:t xml:space="preserve">Clarify division of automation development responsibility between Durvah and USME IT (EDI, Power Automate, RPA) once solutioning/interfaces are defined.</w:t>
      </w:r>
    </w:p>
    <w:p>
      <w:pPr>
        <w:pStyle w:val="ListParagraph"/>
        <w:numPr>
          <w:ilvl w:val="0"/>
          <w:numId w:val="9"/>
        </w:numPr>
      </w:pPr>
      <w:r>
        <w:t xml:space="preserve">Confirm final Workato licensing cost (~$6,000/year per connector; connectors needed for Salesforce, GT, Acumatica) pending Ascent's full license breakdown.</w:t>
      </w:r>
    </w:p>
    <w:p>
      <w:pPr>
        <w:pStyle w:val="Heading2"/>
      </w:pPr>
      <w:r>
        <w:t xml:space="preserve">Power Automate Flows &amp; RPA Bots</w:t>
      </w:r>
    </w:p>
    <w:p>
      <w:pPr>
        <w:pStyle w:val="ListParagraph"/>
        <w:numPr>
          <w:ilvl w:val="0"/>
          <w:numId w:val="10"/>
        </w:numPr>
      </w:pPr>
      <w:r>
        <w:t xml:space="preserve">Beyond EDI, USME also has </w:t>
      </w:r>
      <w:r>
        <w:rPr>
          <w:b/>
        </w:rPr>
        <w:t xml:space="preserve">Power Automate flows</w:t>
      </w:r>
      <w:r>
        <w:t xml:space="preserve"> that receive email, fax, or SFTP transmissions, extract the data, and currently create a call log in the legacy system (Go).</w:t>
      </w:r>
    </w:p>
    <w:p>
      <w:pPr>
        <w:pStyle w:val="ListParagraph"/>
        <w:numPr>
          <w:ilvl w:val="0"/>
          <w:numId w:val="10"/>
        </w:numPr>
      </w:pPr>
      <w:r>
        <w:t xml:space="preserve">USME also runs </w:t>
      </w:r>
      <w:r>
        <w:rPr>
          <w:b/>
        </w:rPr>
        <w:t xml:space="preserve">RPA bots</w:t>
      </w:r>
      <w:r>
        <w:t xml:space="preserve"> (via Power Automate; a ServiceNow-based one will also move to Power Automate) that log into a partner ordering website, extract order data, and call the legacy system to create the corresponding orders.</w:t>
      </w:r>
    </w:p>
    <w:p>
      <w:pPr>
        <w:pStyle w:val="ListParagraph"/>
        <w:numPr>
          <w:ilvl w:val="0"/>
          <w:numId w:val="10"/>
        </w:numPr>
      </w:pPr>
      <w:r>
        <w:t xml:space="preserve">In both cases, the front-end triggers and data extraction are already built; the work is </w:t>
      </w:r>
      <w:r>
        <w:rPr>
          <w:b/>
        </w:rPr>
        <w:t xml:space="preserve">rewiring the back-end calls</w:t>
      </w:r>
      <w:r>
        <w:t xml:space="preserve"> to the new Ascent/Salesforce environment once order/rental/sale/pickup definitions and the appropriate APIs/interfaces are finalized.</w:t>
      </w:r>
    </w:p>
    <w:p>
      <w:pPr>
        <w:pStyle w:val="Heading2"/>
      </w:pPr>
      <w:r>
        <w:t xml:space="preserve">Responsibility Split Between Durvah and USME IT</w:t>
      </w:r>
    </w:p>
    <w:p>
      <w:pPr>
        <w:pStyle w:val="ListParagraph"/>
        <w:numPr>
          <w:ilvl w:val="0"/>
          <w:numId w:val="11"/>
        </w:numPr>
      </w:pPr>
      <w:r>
        <w:t xml:space="preserve">Eric proposed a </w:t>
      </w:r>
      <w:r>
        <w:rPr>
          <w:b/>
        </w:rPr>
        <w:t xml:space="preserve">joint responsibility model</w:t>
      </w:r>
      <w:r>
        <w:t xml:space="preserve">: USME's internal team takes primary ownership of rewiring the Power Automate flows and RPA bots (and can assist with EDI), while Durvah focuses elsewhere and provides the methodology for how to call the Salesforce/Ascent environment correctly.</w:t>
      </w:r>
    </w:p>
    <w:p>
      <w:pPr>
        <w:pStyle w:val="ListParagraph"/>
        <w:numPr>
          <w:ilvl w:val="0"/>
          <w:numId w:val="11"/>
        </w:numPr>
      </w:pPr>
      <w:r>
        <w:t xml:space="preserve">Sequencing: </w:t>
      </w:r>
      <w:r>
        <w:rPr>
          <w:b/>
        </w:rPr>
        <w:t xml:space="preserve">solutioning must happen first</w:t>
      </w:r>
      <w:r>
        <w:t xml:space="preserve"> — definitions for rental order, sale order, and pickup, and the interfaces/APIs to call — before development work (Epic/Story-level) can be handed to either team.</w:t>
      </w:r>
    </w:p>
    <w:p>
      <w:pPr>
        <w:pStyle w:val="ListParagraph"/>
        <w:numPr>
          <w:ilvl w:val="0"/>
          <w:numId w:val="11"/>
        </w:numPr>
      </w:pPr>
      <w:r>
        <w:t xml:space="preserve">Once interfaces are defined, USME's team can handle development and testing for Power Automate/RPA, coordinating with Durvah specifically for </w:t>
      </w:r>
      <w:r>
        <w:rPr>
          <w:b/>
        </w:rPr>
        <w:t xml:space="preserve">system integration testing (SIT)</w:t>
      </w:r>
      <w:r>
        <w:t xml:space="preserve">.</w:t>
      </w:r>
    </w:p>
    <w:p>
      <w:pPr>
        <w:pStyle w:val="ListParagraph"/>
        <w:numPr>
          <w:ilvl w:val="0"/>
          <w:numId w:val="11"/>
        </w:numPr>
      </w:pPr>
      <w:r>
        <w:t xml:space="preserve">Action for next week's project plan: clearly bucket which automation work sits with USME IT vs. Durvah, with a timeline/window for each (e.g., a defined activity window such as Oct 1–Oct 10 or into November) so Durvah can prioritize its own resourcing accordingly.</w:t>
      </w:r>
    </w:p>
    <w:p>
      <w:pPr>
        <w:pStyle w:val="Heading2"/>
      </w:pPr>
      <w:r>
        <w:t xml:space="preserve">Workato Platform Notes &amp; Licensing</w:t>
      </w:r>
    </w:p>
    <w:p>
      <w:pPr>
        <w:pStyle w:val="ListParagraph"/>
        <w:numPr>
          <w:ilvl w:val="0"/>
          <w:numId w:val="12"/>
        </w:numPr>
      </w:pPr>
      <w:r>
        <w:t xml:space="preserve">Clarified that </w:t>
      </w:r>
      <w:r>
        <w:rPr>
          <w:b/>
        </w:rPr>
        <w:t xml:space="preserve">Workato can handle incoming triggers</w:t>
      </w:r>
      <w:r>
        <w:t xml:space="preserve">, not just outbound orchestration — it has native connectors (e.g., email) that can read, ingest, and process inbound messages; both sides agreed to research Workato further since both teams are still new to it.</w:t>
      </w:r>
    </w:p>
    <w:p>
      <w:pPr>
        <w:pStyle w:val="ListParagraph"/>
        <w:numPr>
          <w:ilvl w:val="0"/>
          <w:numId w:val="12"/>
        </w:numPr>
      </w:pPr>
      <w:r>
        <w:t xml:space="preserve">USME's RPA tooling today is </w:t>
      </w:r>
      <w:r>
        <w:rPr>
          <w:b/>
        </w:rPr>
        <w:t xml:space="preserve">Power Automate</w:t>
      </w:r>
      <w:r>
        <w:t xml:space="preserve"> (including the automation currently built on ServiceNow, which will also move to Power Automate).</w:t>
      </w:r>
    </w:p>
    <w:p>
      <w:pPr>
        <w:pStyle w:val="ListParagraph"/>
        <w:numPr>
          <w:ilvl w:val="0"/>
          <w:numId w:val="12"/>
        </w:numPr>
      </w:pPr>
      <w:r>
        <w:rPr>
          <w:b/>
        </w:rPr>
        <w:t xml:space="preserve">Cost:</w:t>
      </w:r>
      <w:r>
        <w:t xml:space="preserve"> Power Automate and other Microsoft-suite tools carry </w:t>
      </w:r>
      <w:r>
        <w:rPr>
          <w:b/>
        </w:rPr>
        <w:t xml:space="preserve">no additional transactional fees</w:t>
      </w:r>
      <w:r>
        <w:t xml:space="preserve"> beyond existing Microsoft licensing. </w:t>
      </w:r>
      <w:r>
        <w:rPr>
          <w:b/>
        </w:rPr>
        <w:t xml:space="preserve">Workato is estimated at ~$6,000/year per connector</w:t>
      </w:r>
      <w:r>
        <w:t xml:space="preserve"> (connectors needed: Salesforce, GT, Acumatica); final cost pending a full license breakdown from the Ascent team.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Automation Workshop (EDI  Order Flow) — Minutes</dc:title>
  <dc:description>Claude Docs node/cc98a226-2124@7 docx-w6</dc:description>
  <cp:revision>7</cp:revision>
</cp:coreProperties>
</file>