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738E0" w:rsidRDefault="002738E0">
      <w:pPr>
        <w:rPr>
          <w:rFonts w:ascii="Calibri" w:eastAsia="Calibri" w:hAnsi="Calibri" w:cs="Calibri"/>
        </w:rPr>
      </w:pPr>
    </w:p>
    <w:p w14:paraId="00000002" w14:textId="77777777" w:rsidR="002738E0" w:rsidRDefault="002738E0">
      <w:pPr>
        <w:rPr>
          <w:rFonts w:ascii="Calibri" w:eastAsia="Calibri" w:hAnsi="Calibri" w:cs="Calibri"/>
        </w:rPr>
      </w:pPr>
    </w:p>
    <w:p w14:paraId="00000003" w14:textId="77777777" w:rsidR="002738E0" w:rsidRDefault="002738E0">
      <w:pPr>
        <w:rPr>
          <w:rFonts w:ascii="Calibri" w:eastAsia="Calibri" w:hAnsi="Calibri" w:cs="Calibri"/>
        </w:rPr>
      </w:pPr>
    </w:p>
    <w:p w14:paraId="00000004" w14:textId="77777777" w:rsidR="002738E0" w:rsidRDefault="00356CE0">
      <w:pPr>
        <w:pStyle w:val="Heading1"/>
        <w:spacing w:before="360" w:after="80" w:line="259" w:lineRule="auto"/>
        <w:jc w:val="center"/>
        <w:rPr>
          <w:rFonts w:ascii="Calibri" w:eastAsia="Calibri" w:hAnsi="Calibri" w:cs="Calibri"/>
          <w:color w:val="2F5496"/>
        </w:rPr>
      </w:pPr>
      <w:bookmarkStart w:id="0" w:name="_vm0s92grzcj5" w:colFirst="0" w:colLast="0"/>
      <w:bookmarkEnd w:id="0"/>
      <w:r>
        <w:rPr>
          <w:rFonts w:ascii="Calibri" w:eastAsia="Calibri" w:hAnsi="Calibri" w:cs="Calibri"/>
          <w:noProof/>
          <w:color w:val="2F5496"/>
        </w:rPr>
        <w:drawing>
          <wp:inline distT="0" distB="0" distL="0" distR="0" wp14:anchorId="0A5C74CD" wp14:editId="07777777">
            <wp:extent cx="2457468" cy="140971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457468" cy="1409710"/>
                    </a:xfrm>
                    <a:prstGeom prst="rect">
                      <a:avLst/>
                    </a:prstGeom>
                    <a:ln/>
                  </pic:spPr>
                </pic:pic>
              </a:graphicData>
            </a:graphic>
          </wp:inline>
        </w:drawing>
      </w:r>
    </w:p>
    <w:p w14:paraId="00000005" w14:textId="77777777" w:rsidR="002738E0" w:rsidRDefault="00356CE0">
      <w:pPr>
        <w:pStyle w:val="Heading1"/>
        <w:keepLines w:val="0"/>
        <w:spacing w:before="360" w:line="259" w:lineRule="auto"/>
        <w:jc w:val="center"/>
        <w:rPr>
          <w:rFonts w:ascii="Calibri" w:eastAsia="Calibri" w:hAnsi="Calibri" w:cs="Calibri"/>
          <w:b/>
          <w:bCs/>
          <w:color w:val="2F5496"/>
        </w:rPr>
      </w:pPr>
      <w:bookmarkStart w:id="1" w:name="_loliv0tylko9" w:colFirst="0" w:colLast="0"/>
      <w:bookmarkEnd w:id="1"/>
      <w:r>
        <w:rPr>
          <w:rFonts w:ascii="Calibri" w:eastAsia="Calibri" w:hAnsi="Calibri" w:cs="Calibri"/>
          <w:b/>
          <w:bCs/>
          <w:color w:val="2F5496"/>
        </w:rPr>
        <w:t>USME Call Log Request Register</w:t>
      </w:r>
    </w:p>
    <w:p w14:paraId="00000006" w14:textId="77777777" w:rsidR="002738E0" w:rsidRDefault="002738E0">
      <w:pPr>
        <w:jc w:val="center"/>
        <w:rPr>
          <w:rFonts w:ascii="Calibri" w:eastAsia="Calibri" w:hAnsi="Calibri" w:cs="Calibri"/>
        </w:rPr>
      </w:pP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2738E0" w14:paraId="17EF3B0A"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0000007" w14:textId="77777777" w:rsidR="002738E0" w:rsidRDefault="00356CE0">
            <w:pPr>
              <w:widowControl w:val="0"/>
              <w:spacing w:line="240" w:lineRule="auto"/>
              <w:rPr>
                <w:rFonts w:ascii="Calibri" w:eastAsia="Calibri" w:hAnsi="Calibri" w:cs="Calibri"/>
              </w:rPr>
            </w:pPr>
            <w:r>
              <w:rPr>
                <w:rFonts w:ascii="Calibri" w:eastAsia="Calibri" w:hAnsi="Calibri" w:cs="Calibri"/>
              </w:rP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0000008" w14:textId="77777777" w:rsidR="002738E0" w:rsidRDefault="00356CE0">
            <w:pPr>
              <w:widowControl w:val="0"/>
              <w:spacing w:line="240" w:lineRule="auto"/>
              <w:rPr>
                <w:rFonts w:ascii="Calibri" w:eastAsia="Calibri" w:hAnsi="Calibri" w:cs="Calibri"/>
              </w:rPr>
            </w:pPr>
            <w:r>
              <w:rPr>
                <w:rFonts w:ascii="Calibri" w:eastAsia="Calibri" w:hAnsi="Calibri" w:cs="Calibri"/>
              </w:rPr>
              <w:t xml:space="preserve">USME – Ascent Rental Salesforce CRM Implementation </w:t>
            </w:r>
          </w:p>
        </w:tc>
      </w:tr>
      <w:tr w:rsidR="002738E0" w14:paraId="6167121E"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0000009" w14:textId="77777777" w:rsidR="002738E0" w:rsidRDefault="00356CE0">
            <w:pPr>
              <w:widowControl w:val="0"/>
              <w:spacing w:line="240" w:lineRule="auto"/>
              <w:rPr>
                <w:rFonts w:ascii="Calibri" w:eastAsia="Calibri" w:hAnsi="Calibri" w:cs="Calibri"/>
              </w:rPr>
            </w:pPr>
            <w:r>
              <w:rPr>
                <w:rFonts w:ascii="Calibri" w:eastAsia="Calibri" w:hAnsi="Calibri" w:cs="Calibri"/>
              </w:rP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000000A" w14:textId="77777777" w:rsidR="002738E0" w:rsidRDefault="00356CE0">
            <w:pPr>
              <w:widowControl w:val="0"/>
              <w:spacing w:line="240" w:lineRule="auto"/>
              <w:rPr>
                <w:rFonts w:ascii="Calibri" w:eastAsia="Calibri" w:hAnsi="Calibri" w:cs="Calibri"/>
              </w:rPr>
            </w:pPr>
            <w:r>
              <w:rPr>
                <w:rFonts w:ascii="Calibri" w:eastAsia="Calibri" w:hAnsi="Calibri" w:cs="Calibri"/>
              </w:rPr>
              <w:t xml:space="preserve">USME </w:t>
            </w:r>
          </w:p>
        </w:tc>
      </w:tr>
      <w:tr w:rsidR="002738E0" w14:paraId="0F20806A"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000000B" w14:textId="77777777" w:rsidR="002738E0" w:rsidRDefault="00356CE0">
            <w:pPr>
              <w:widowControl w:val="0"/>
              <w:spacing w:line="240" w:lineRule="auto"/>
              <w:rPr>
                <w:rFonts w:ascii="Calibri" w:eastAsia="Calibri" w:hAnsi="Calibri" w:cs="Calibri"/>
              </w:rPr>
            </w:pPr>
            <w:r>
              <w:rPr>
                <w:rFonts w:ascii="Calibri" w:eastAsia="Calibri" w:hAnsi="Calibri" w:cs="Calibri"/>
              </w:rP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000000C" w14:textId="77777777" w:rsidR="002738E0" w:rsidRDefault="00356CE0">
            <w:pPr>
              <w:widowControl w:val="0"/>
              <w:spacing w:line="240" w:lineRule="auto"/>
              <w:rPr>
                <w:rFonts w:ascii="Calibri" w:eastAsia="Calibri" w:hAnsi="Calibri" w:cs="Calibri"/>
              </w:rPr>
            </w:pPr>
            <w:r>
              <w:rPr>
                <w:rFonts w:ascii="Calibri" w:eastAsia="Calibri" w:hAnsi="Calibri" w:cs="Calibri"/>
              </w:rPr>
              <w:t xml:space="preserve">Issued </w:t>
            </w:r>
          </w:p>
        </w:tc>
      </w:tr>
    </w:tbl>
    <w:p w14:paraId="0000000D" w14:textId="77777777" w:rsidR="002738E0" w:rsidRDefault="00356CE0">
      <w:pPr>
        <w:jc w:val="center"/>
        <w:rPr>
          <w:rFonts w:ascii="Calibri" w:eastAsia="Calibri" w:hAnsi="Calibri" w:cs="Calibri"/>
        </w:rPr>
      </w:pPr>
      <w:r>
        <w:br w:type="page"/>
      </w:r>
    </w:p>
    <w:p w14:paraId="0000000E" w14:textId="77777777" w:rsidR="002738E0" w:rsidRDefault="002738E0">
      <w:pPr>
        <w:spacing w:after="160" w:line="259" w:lineRule="auto"/>
        <w:rPr>
          <w:rFonts w:ascii="Calibri" w:eastAsia="Calibri" w:hAnsi="Calibri" w:cs="Calibri"/>
          <w:b/>
          <w:bCs/>
          <w:sz w:val="21"/>
          <w:szCs w:val="21"/>
        </w:rPr>
      </w:pPr>
    </w:p>
    <w:p w14:paraId="0000000F" w14:textId="77777777" w:rsidR="002738E0" w:rsidRDefault="00356CE0">
      <w:pPr>
        <w:spacing w:after="160" w:line="259" w:lineRule="auto"/>
        <w:rPr>
          <w:rFonts w:ascii="Calibri" w:eastAsia="Calibri" w:hAnsi="Calibri" w:cs="Calibri"/>
          <w:b/>
          <w:bCs/>
          <w:sz w:val="21"/>
          <w:szCs w:val="21"/>
        </w:rPr>
      </w:pPr>
      <w:r>
        <w:rPr>
          <w:rFonts w:ascii="Calibri" w:eastAsia="Calibri" w:hAnsi="Calibri" w:cs="Calibri"/>
          <w:b/>
          <w:bCs/>
          <w:sz w:val="21"/>
          <w:szCs w:val="21"/>
        </w:rPr>
        <w:t>Document Change Control Log:</w:t>
      </w:r>
    </w:p>
    <w:p w14:paraId="00000010" w14:textId="77777777" w:rsidR="002738E0" w:rsidRDefault="54A12F5A" w:rsidP="54A12F5A">
      <w:pPr>
        <w:spacing w:after="160" w:line="259" w:lineRule="auto"/>
        <w:rPr>
          <w:rFonts w:ascii="Calibri" w:eastAsia="Calibri" w:hAnsi="Calibri" w:cs="Calibri"/>
          <w:sz w:val="21"/>
          <w:szCs w:val="21"/>
          <w:lang w:val="en-US"/>
        </w:rPr>
      </w:pPr>
      <w:r w:rsidRPr="54A12F5A">
        <w:rPr>
          <w:rFonts w:ascii="Calibri" w:eastAsia="Calibri" w:hAnsi="Calibri" w:cs="Calibri"/>
          <w:sz w:val="21"/>
          <w:szCs w:val="21"/>
          <w:lang w:val="en-US"/>
        </w:rPr>
        <w:t xml:space="preserve">The Document Change Control Log is updated each time the document is modified. The log identifies the version number, the date of revisions, a brief description of the changes, and the author/reviewer </w:t>
      </w:r>
    </w:p>
    <w:tbl>
      <w:tblPr>
        <w:tblStyle w:val="a0"/>
        <w:tblW w:w="9630" w:type="dxa"/>
        <w:tblInd w:w="46"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185"/>
        <w:gridCol w:w="1275"/>
        <w:gridCol w:w="5535"/>
        <w:gridCol w:w="1635"/>
      </w:tblGrid>
      <w:tr w:rsidR="002738E0" w14:paraId="1CCA2E0A" w14:textId="77777777" w:rsidTr="54A12F5A">
        <w:trPr>
          <w:trHeight w:val="20"/>
        </w:trPr>
        <w:tc>
          <w:tcPr>
            <w:tcW w:w="1185" w:type="dxa"/>
            <w:shd w:val="clear" w:color="auto" w:fill="FFF2CB"/>
          </w:tcPr>
          <w:p w14:paraId="00000011"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5" w:type="dxa"/>
            <w:shd w:val="clear" w:color="auto" w:fill="FFF2CB"/>
          </w:tcPr>
          <w:p w14:paraId="00000012"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35" w:type="dxa"/>
            <w:shd w:val="clear" w:color="auto" w:fill="FFF2CB"/>
          </w:tcPr>
          <w:p w14:paraId="00000013"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Description</w:t>
            </w:r>
          </w:p>
        </w:tc>
        <w:tc>
          <w:tcPr>
            <w:tcW w:w="1635" w:type="dxa"/>
            <w:shd w:val="clear" w:color="auto" w:fill="FFF2CB"/>
          </w:tcPr>
          <w:p w14:paraId="00000014"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Author</w:t>
            </w:r>
          </w:p>
        </w:tc>
      </w:tr>
      <w:tr w:rsidR="002738E0" w14:paraId="45987637" w14:textId="77777777" w:rsidTr="54A12F5A">
        <w:trPr>
          <w:trHeight w:val="20"/>
        </w:trPr>
        <w:tc>
          <w:tcPr>
            <w:tcW w:w="1185" w:type="dxa"/>
          </w:tcPr>
          <w:p w14:paraId="00000015" w14:textId="77777777" w:rsidR="002738E0" w:rsidRDefault="00356CE0">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V1.0</w:t>
            </w:r>
          </w:p>
        </w:tc>
        <w:tc>
          <w:tcPr>
            <w:tcW w:w="1275" w:type="dxa"/>
          </w:tcPr>
          <w:p w14:paraId="00000016" w14:textId="77777777" w:rsidR="002738E0" w:rsidRDefault="002738E0">
            <w:pPr>
              <w:spacing w:before="120" w:after="120" w:line="259" w:lineRule="auto"/>
              <w:rPr>
                <w:rFonts w:ascii="Calibri" w:eastAsia="Calibri" w:hAnsi="Calibri" w:cs="Calibri"/>
                <w:sz w:val="21"/>
                <w:szCs w:val="21"/>
              </w:rPr>
            </w:pPr>
          </w:p>
        </w:tc>
        <w:tc>
          <w:tcPr>
            <w:tcW w:w="5535" w:type="dxa"/>
          </w:tcPr>
          <w:p w14:paraId="00000017" w14:textId="24E7C2D8" w:rsidR="002738E0" w:rsidRDefault="001629A9">
            <w:pPr>
              <w:spacing w:before="120" w:after="120" w:line="259" w:lineRule="auto"/>
              <w:rPr>
                <w:rFonts w:ascii="Calibri" w:eastAsia="Calibri" w:hAnsi="Calibri" w:cs="Calibri"/>
                <w:sz w:val="21"/>
                <w:szCs w:val="21"/>
              </w:rPr>
            </w:pPr>
            <w:r>
              <w:rPr>
                <w:rFonts w:ascii="Calibri" w:eastAsia="Calibri" w:hAnsi="Calibri" w:cs="Calibri"/>
                <w:sz w:val="21"/>
                <w:szCs w:val="21"/>
              </w:rPr>
              <w:t>Functional Requirements Doc</w:t>
            </w:r>
            <w:r w:rsidR="00356CE0">
              <w:rPr>
                <w:rFonts w:ascii="Calibri" w:eastAsia="Calibri" w:hAnsi="Calibri" w:cs="Calibri"/>
                <w:sz w:val="21"/>
                <w:szCs w:val="21"/>
              </w:rPr>
              <w:t>ument Creation</w:t>
            </w:r>
          </w:p>
        </w:tc>
        <w:tc>
          <w:tcPr>
            <w:tcW w:w="1635" w:type="dxa"/>
          </w:tcPr>
          <w:p w14:paraId="00000018" w14:textId="77777777" w:rsidR="002738E0" w:rsidRDefault="54A12F5A" w:rsidP="54A12F5A">
            <w:pPr>
              <w:spacing w:before="120" w:after="120" w:line="259" w:lineRule="auto"/>
              <w:jc w:val="center"/>
              <w:rPr>
                <w:rFonts w:ascii="Calibri" w:eastAsia="Calibri" w:hAnsi="Calibri" w:cs="Calibri"/>
                <w:sz w:val="21"/>
                <w:szCs w:val="21"/>
                <w:lang w:val="en-US"/>
              </w:rPr>
            </w:pPr>
            <w:r w:rsidRPr="54A12F5A">
              <w:rPr>
                <w:rFonts w:ascii="Calibri" w:eastAsia="Calibri" w:hAnsi="Calibri" w:cs="Calibri"/>
                <w:sz w:val="21"/>
                <w:szCs w:val="21"/>
                <w:lang w:val="en-US"/>
              </w:rPr>
              <w:t>Durvah</w:t>
            </w:r>
          </w:p>
        </w:tc>
      </w:tr>
    </w:tbl>
    <w:p w14:paraId="00000019" w14:textId="77777777" w:rsidR="002738E0" w:rsidRDefault="002738E0">
      <w:pPr>
        <w:spacing w:after="160" w:line="259" w:lineRule="auto"/>
        <w:rPr>
          <w:rFonts w:ascii="Calibri" w:eastAsia="Calibri" w:hAnsi="Calibri" w:cs="Calibri"/>
          <w:sz w:val="21"/>
          <w:szCs w:val="21"/>
        </w:rPr>
      </w:pPr>
    </w:p>
    <w:p w14:paraId="0000001A" w14:textId="77777777" w:rsidR="002738E0" w:rsidRDefault="002738E0">
      <w:pPr>
        <w:spacing w:after="160" w:line="259" w:lineRule="auto"/>
        <w:rPr>
          <w:rFonts w:ascii="Calibri" w:eastAsia="Calibri" w:hAnsi="Calibri" w:cs="Calibri"/>
          <w:b/>
          <w:bCs/>
          <w:sz w:val="21"/>
          <w:szCs w:val="21"/>
        </w:rPr>
      </w:pPr>
    </w:p>
    <w:p w14:paraId="0000001B" w14:textId="77777777" w:rsidR="002738E0" w:rsidRDefault="00356CE0">
      <w:pPr>
        <w:spacing w:after="160" w:line="259" w:lineRule="auto"/>
        <w:rPr>
          <w:rFonts w:ascii="Calibri" w:eastAsia="Calibri" w:hAnsi="Calibri" w:cs="Calibri"/>
          <w:b/>
          <w:bCs/>
          <w:sz w:val="21"/>
          <w:szCs w:val="21"/>
        </w:rPr>
      </w:pPr>
      <w:r>
        <w:rPr>
          <w:rFonts w:ascii="Calibri" w:eastAsia="Calibri" w:hAnsi="Calibri" w:cs="Calibri"/>
          <w:b/>
          <w:bCs/>
          <w:sz w:val="21"/>
          <w:szCs w:val="21"/>
        </w:rPr>
        <w:t>Approvals from USME Team:</w:t>
      </w:r>
    </w:p>
    <w:tbl>
      <w:tblPr>
        <w:tblStyle w:val="a1"/>
        <w:tblW w:w="9645" w:type="dxa"/>
        <w:tblInd w:w="31"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200"/>
        <w:gridCol w:w="1275"/>
        <w:gridCol w:w="5535"/>
        <w:gridCol w:w="1635"/>
      </w:tblGrid>
      <w:tr w:rsidR="002738E0" w14:paraId="665C61F5" w14:textId="77777777">
        <w:trPr>
          <w:trHeight w:val="20"/>
        </w:trPr>
        <w:tc>
          <w:tcPr>
            <w:tcW w:w="1200" w:type="dxa"/>
            <w:shd w:val="clear" w:color="auto" w:fill="FFF2CB"/>
          </w:tcPr>
          <w:p w14:paraId="0000001C"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5" w:type="dxa"/>
            <w:shd w:val="clear" w:color="auto" w:fill="FFF2CB"/>
          </w:tcPr>
          <w:p w14:paraId="0000001D"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35" w:type="dxa"/>
            <w:shd w:val="clear" w:color="auto" w:fill="FFF2CB"/>
          </w:tcPr>
          <w:p w14:paraId="0000001E"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 Role</w:t>
            </w:r>
          </w:p>
        </w:tc>
        <w:tc>
          <w:tcPr>
            <w:tcW w:w="1635" w:type="dxa"/>
            <w:shd w:val="clear" w:color="auto" w:fill="FFF2CB"/>
          </w:tcPr>
          <w:p w14:paraId="0000001F"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w:t>
            </w:r>
          </w:p>
        </w:tc>
      </w:tr>
      <w:tr w:rsidR="002738E0" w14:paraId="672A6659" w14:textId="77777777">
        <w:trPr>
          <w:trHeight w:val="20"/>
        </w:trPr>
        <w:tc>
          <w:tcPr>
            <w:tcW w:w="1200" w:type="dxa"/>
          </w:tcPr>
          <w:p w14:paraId="00000020" w14:textId="77777777" w:rsidR="002738E0" w:rsidRDefault="002738E0">
            <w:pPr>
              <w:spacing w:before="120" w:after="120" w:line="259" w:lineRule="auto"/>
              <w:rPr>
                <w:rFonts w:ascii="Calibri" w:eastAsia="Calibri" w:hAnsi="Calibri" w:cs="Calibri"/>
                <w:sz w:val="21"/>
                <w:szCs w:val="21"/>
              </w:rPr>
            </w:pPr>
          </w:p>
        </w:tc>
        <w:tc>
          <w:tcPr>
            <w:tcW w:w="1275" w:type="dxa"/>
          </w:tcPr>
          <w:p w14:paraId="00000021" w14:textId="77777777" w:rsidR="002738E0" w:rsidRDefault="002738E0">
            <w:pPr>
              <w:spacing w:before="120" w:after="120" w:line="259" w:lineRule="auto"/>
              <w:rPr>
                <w:rFonts w:ascii="Calibri" w:eastAsia="Calibri" w:hAnsi="Calibri" w:cs="Calibri"/>
                <w:sz w:val="21"/>
                <w:szCs w:val="21"/>
              </w:rPr>
            </w:pPr>
          </w:p>
        </w:tc>
        <w:tc>
          <w:tcPr>
            <w:tcW w:w="5535" w:type="dxa"/>
          </w:tcPr>
          <w:p w14:paraId="00000022"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00000023" w14:textId="77777777" w:rsidR="002738E0" w:rsidRDefault="002738E0">
            <w:pPr>
              <w:spacing w:before="120" w:after="120" w:line="259" w:lineRule="auto"/>
              <w:rPr>
                <w:rFonts w:ascii="Calibri" w:eastAsia="Calibri" w:hAnsi="Calibri" w:cs="Calibri"/>
                <w:sz w:val="21"/>
                <w:szCs w:val="21"/>
              </w:rPr>
            </w:pPr>
          </w:p>
        </w:tc>
      </w:tr>
      <w:tr w:rsidR="002738E0" w14:paraId="0A37501D" w14:textId="77777777">
        <w:trPr>
          <w:trHeight w:val="20"/>
        </w:trPr>
        <w:tc>
          <w:tcPr>
            <w:tcW w:w="1200" w:type="dxa"/>
          </w:tcPr>
          <w:p w14:paraId="00000024" w14:textId="77777777" w:rsidR="002738E0" w:rsidRDefault="002738E0">
            <w:pPr>
              <w:spacing w:before="120" w:after="120" w:line="259" w:lineRule="auto"/>
              <w:rPr>
                <w:rFonts w:ascii="Calibri" w:eastAsia="Calibri" w:hAnsi="Calibri" w:cs="Calibri"/>
                <w:sz w:val="21"/>
                <w:szCs w:val="21"/>
              </w:rPr>
            </w:pPr>
          </w:p>
        </w:tc>
        <w:tc>
          <w:tcPr>
            <w:tcW w:w="1275" w:type="dxa"/>
          </w:tcPr>
          <w:p w14:paraId="00000025" w14:textId="77777777" w:rsidR="002738E0" w:rsidRDefault="002738E0">
            <w:pPr>
              <w:spacing w:before="120" w:after="120" w:line="259" w:lineRule="auto"/>
              <w:rPr>
                <w:rFonts w:ascii="Calibri" w:eastAsia="Calibri" w:hAnsi="Calibri" w:cs="Calibri"/>
                <w:sz w:val="21"/>
                <w:szCs w:val="21"/>
              </w:rPr>
            </w:pPr>
          </w:p>
        </w:tc>
        <w:tc>
          <w:tcPr>
            <w:tcW w:w="5535" w:type="dxa"/>
          </w:tcPr>
          <w:p w14:paraId="00000026"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00000027" w14:textId="77777777" w:rsidR="002738E0" w:rsidRDefault="002738E0">
            <w:pPr>
              <w:spacing w:before="120" w:after="120" w:line="259" w:lineRule="auto"/>
              <w:rPr>
                <w:rFonts w:ascii="Calibri" w:eastAsia="Calibri" w:hAnsi="Calibri" w:cs="Calibri"/>
                <w:sz w:val="21"/>
                <w:szCs w:val="21"/>
              </w:rPr>
            </w:pPr>
          </w:p>
        </w:tc>
      </w:tr>
      <w:tr w:rsidR="002738E0" w14:paraId="5DAB6C7B" w14:textId="77777777">
        <w:trPr>
          <w:trHeight w:val="20"/>
        </w:trPr>
        <w:tc>
          <w:tcPr>
            <w:tcW w:w="1200" w:type="dxa"/>
          </w:tcPr>
          <w:p w14:paraId="00000028" w14:textId="77777777" w:rsidR="002738E0" w:rsidRDefault="002738E0">
            <w:pPr>
              <w:spacing w:before="120" w:after="120" w:line="259" w:lineRule="auto"/>
              <w:rPr>
                <w:rFonts w:ascii="Calibri" w:eastAsia="Calibri" w:hAnsi="Calibri" w:cs="Calibri"/>
                <w:sz w:val="21"/>
                <w:szCs w:val="21"/>
              </w:rPr>
            </w:pPr>
          </w:p>
        </w:tc>
        <w:tc>
          <w:tcPr>
            <w:tcW w:w="1275" w:type="dxa"/>
          </w:tcPr>
          <w:p w14:paraId="00000029" w14:textId="77777777" w:rsidR="002738E0" w:rsidRDefault="002738E0">
            <w:pPr>
              <w:spacing w:before="120" w:after="120" w:line="259" w:lineRule="auto"/>
              <w:rPr>
                <w:rFonts w:ascii="Calibri" w:eastAsia="Calibri" w:hAnsi="Calibri" w:cs="Calibri"/>
                <w:sz w:val="21"/>
                <w:szCs w:val="21"/>
              </w:rPr>
            </w:pPr>
          </w:p>
        </w:tc>
        <w:tc>
          <w:tcPr>
            <w:tcW w:w="5535" w:type="dxa"/>
          </w:tcPr>
          <w:p w14:paraId="0000002A"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0000002B" w14:textId="77777777" w:rsidR="002738E0" w:rsidRDefault="002738E0">
            <w:pPr>
              <w:spacing w:before="120" w:after="120" w:line="259" w:lineRule="auto"/>
              <w:rPr>
                <w:rFonts w:ascii="Calibri" w:eastAsia="Calibri" w:hAnsi="Calibri" w:cs="Calibri"/>
                <w:sz w:val="21"/>
                <w:szCs w:val="21"/>
              </w:rPr>
            </w:pPr>
          </w:p>
        </w:tc>
      </w:tr>
      <w:tr w:rsidR="002738E0" w14:paraId="02EB378F" w14:textId="77777777">
        <w:trPr>
          <w:trHeight w:val="20"/>
        </w:trPr>
        <w:tc>
          <w:tcPr>
            <w:tcW w:w="1200" w:type="dxa"/>
          </w:tcPr>
          <w:p w14:paraId="0000002C" w14:textId="77777777" w:rsidR="002738E0" w:rsidRDefault="002738E0">
            <w:pPr>
              <w:spacing w:before="120" w:after="120" w:line="259" w:lineRule="auto"/>
              <w:rPr>
                <w:rFonts w:ascii="Calibri" w:eastAsia="Calibri" w:hAnsi="Calibri" w:cs="Calibri"/>
                <w:sz w:val="21"/>
                <w:szCs w:val="21"/>
              </w:rPr>
            </w:pPr>
          </w:p>
        </w:tc>
        <w:tc>
          <w:tcPr>
            <w:tcW w:w="1275" w:type="dxa"/>
          </w:tcPr>
          <w:p w14:paraId="0000002D" w14:textId="77777777" w:rsidR="002738E0" w:rsidRDefault="002738E0">
            <w:pPr>
              <w:spacing w:before="120" w:after="120" w:line="259" w:lineRule="auto"/>
              <w:rPr>
                <w:rFonts w:ascii="Calibri" w:eastAsia="Calibri" w:hAnsi="Calibri" w:cs="Calibri"/>
                <w:sz w:val="21"/>
                <w:szCs w:val="21"/>
              </w:rPr>
            </w:pPr>
          </w:p>
        </w:tc>
        <w:tc>
          <w:tcPr>
            <w:tcW w:w="5535" w:type="dxa"/>
          </w:tcPr>
          <w:p w14:paraId="0000002E"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0000002F" w14:textId="77777777" w:rsidR="002738E0" w:rsidRDefault="002738E0">
            <w:pPr>
              <w:spacing w:before="120" w:after="120" w:line="259" w:lineRule="auto"/>
              <w:rPr>
                <w:rFonts w:ascii="Calibri" w:eastAsia="Calibri" w:hAnsi="Calibri" w:cs="Calibri"/>
                <w:sz w:val="21"/>
                <w:szCs w:val="21"/>
              </w:rPr>
            </w:pPr>
          </w:p>
        </w:tc>
      </w:tr>
    </w:tbl>
    <w:p w14:paraId="00000030" w14:textId="77777777" w:rsidR="002738E0" w:rsidRDefault="00356CE0">
      <w:pPr>
        <w:spacing w:after="160" w:line="259" w:lineRule="auto"/>
        <w:rPr>
          <w:rFonts w:ascii="Calibri" w:eastAsia="Calibri" w:hAnsi="Calibri" w:cs="Calibri"/>
        </w:rPr>
      </w:pPr>
      <w:r>
        <w:br w:type="page"/>
      </w:r>
    </w:p>
    <w:p w14:paraId="00000031" w14:textId="77777777" w:rsidR="002738E0" w:rsidRDefault="002738E0">
      <w:pPr>
        <w:spacing w:after="160" w:line="259" w:lineRule="auto"/>
        <w:rPr>
          <w:rFonts w:ascii="Calibri" w:eastAsia="Calibri" w:hAnsi="Calibri" w:cs="Calibri"/>
        </w:rPr>
      </w:pPr>
    </w:p>
    <w:p w14:paraId="00000032" w14:textId="77777777" w:rsidR="002738E0" w:rsidRDefault="00356CE0">
      <w:pPr>
        <w:pStyle w:val="Heading2"/>
        <w:spacing w:before="160" w:after="80" w:line="259" w:lineRule="auto"/>
        <w:rPr>
          <w:rFonts w:ascii="Calibri" w:eastAsia="Calibri" w:hAnsi="Calibri" w:cs="Calibri"/>
          <w:color w:val="2F5496"/>
        </w:rPr>
      </w:pPr>
      <w:bookmarkStart w:id="2" w:name="_8xk196j47vym" w:colFirst="0" w:colLast="0"/>
      <w:bookmarkEnd w:id="2"/>
      <w:r>
        <w:rPr>
          <w:rFonts w:ascii="Calibri" w:eastAsia="Calibri" w:hAnsi="Calibri" w:cs="Calibri"/>
          <w:color w:val="2F5496"/>
        </w:rPr>
        <w:t xml:space="preserve">Executive Summary </w:t>
      </w:r>
    </w:p>
    <w:p w14:paraId="00000033" w14:textId="6A2AAA23" w:rsidR="002738E0" w:rsidRDefault="54A12F5A" w:rsidP="54A12F5A">
      <w:pPr>
        <w:spacing w:after="160" w:line="259" w:lineRule="auto"/>
        <w:rPr>
          <w:rFonts w:ascii="Calibri" w:eastAsia="Calibri" w:hAnsi="Calibri" w:cs="Calibri"/>
          <w:sz w:val="21"/>
          <w:szCs w:val="21"/>
          <w:lang w:val="en-US"/>
        </w:rPr>
      </w:pPr>
      <w:r w:rsidRPr="54A12F5A">
        <w:rPr>
          <w:rFonts w:ascii="Calibri" w:eastAsia="Calibri" w:hAnsi="Calibri" w:cs="Calibri"/>
          <w:sz w:val="21"/>
          <w:szCs w:val="21"/>
          <w:lang w:val="en-US"/>
        </w:rPr>
        <w:t xml:space="preserve">This document specifies what the new request register (today called the "call log") must do when USME moves from </w:t>
      </w:r>
      <w:proofErr w:type="spellStart"/>
      <w:r w:rsidRPr="54A12F5A">
        <w:rPr>
          <w:rFonts w:ascii="Calibri" w:eastAsia="Calibri" w:hAnsi="Calibri" w:cs="Calibri"/>
          <w:sz w:val="21"/>
          <w:szCs w:val="21"/>
          <w:lang w:val="en-US"/>
        </w:rPr>
        <w:t>GoUSME</w:t>
      </w:r>
      <w:proofErr w:type="spellEnd"/>
      <w:r w:rsidRPr="54A12F5A">
        <w:rPr>
          <w:rFonts w:ascii="Calibri" w:eastAsia="Calibri" w:hAnsi="Calibri" w:cs="Calibri"/>
          <w:sz w:val="21"/>
          <w:szCs w:val="21"/>
          <w:lang w:val="en-US"/>
        </w:rPr>
        <w:t xml:space="preserve"> to Salesforce and Ascent, must carry over. It is a companion to the Customer Portal FRD and uses the same priority scale. Where a requirement already exists there, this document points to its PRT number instead of repeating it.</w:t>
      </w:r>
    </w:p>
    <w:p w14:paraId="00000034" w14:textId="77777777" w:rsidR="002738E0" w:rsidRDefault="002738E0">
      <w:pPr>
        <w:spacing w:after="160" w:line="259" w:lineRule="auto"/>
        <w:rPr>
          <w:rFonts w:ascii="Calibri" w:eastAsia="Calibri" w:hAnsi="Calibri" w:cs="Calibri"/>
        </w:rPr>
      </w:pPr>
    </w:p>
    <w:p w14:paraId="00000035" w14:textId="77777777" w:rsidR="002738E0" w:rsidRDefault="00356CE0">
      <w:pPr>
        <w:pStyle w:val="Heading2"/>
        <w:spacing w:before="160" w:after="80" w:line="259" w:lineRule="auto"/>
        <w:rPr>
          <w:rFonts w:ascii="Calibri" w:eastAsia="Calibri" w:hAnsi="Calibri" w:cs="Calibri"/>
          <w:b/>
          <w:bCs/>
          <w:color w:val="000000"/>
          <w:sz w:val="24"/>
          <w:szCs w:val="24"/>
        </w:rPr>
      </w:pPr>
      <w:bookmarkStart w:id="3" w:name="_ymbbkglrau3" w:colFirst="0" w:colLast="0"/>
      <w:bookmarkEnd w:id="3"/>
      <w:r>
        <w:rPr>
          <w:rFonts w:ascii="Calibri" w:eastAsia="Calibri" w:hAnsi="Calibri" w:cs="Calibri"/>
          <w:color w:val="2F5496"/>
        </w:rPr>
        <w:t>Functional Requirements</w:t>
      </w:r>
    </w:p>
    <w:tbl>
      <w:tblPr>
        <w:tblStyle w:val="a2"/>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8010"/>
      </w:tblGrid>
      <w:tr w:rsidR="002738E0" w14:paraId="327E1E4A" w14:textId="77777777" w:rsidTr="54A12F5A">
        <w:trPr>
          <w:tblHeader/>
        </w:trPr>
        <w:tc>
          <w:tcPr>
            <w:tcW w:w="1935" w:type="dxa"/>
            <w:shd w:val="clear" w:color="auto" w:fill="F2F2F2" w:themeFill="background1" w:themeFillShade="F2"/>
          </w:tcPr>
          <w:p w14:paraId="0000003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Step</w:t>
            </w:r>
          </w:p>
        </w:tc>
        <w:tc>
          <w:tcPr>
            <w:tcW w:w="8010" w:type="dxa"/>
            <w:shd w:val="clear" w:color="auto" w:fill="F2F2F2" w:themeFill="background1" w:themeFillShade="F2"/>
          </w:tcPr>
          <w:p w14:paraId="0000003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What happens today</w:t>
            </w:r>
          </w:p>
        </w:tc>
      </w:tr>
      <w:tr w:rsidR="002738E0" w14:paraId="3DB8A052" w14:textId="77777777" w:rsidTr="54A12F5A">
        <w:trPr>
          <w:cantSplit/>
        </w:trPr>
        <w:tc>
          <w:tcPr>
            <w:tcW w:w="1935" w:type="dxa"/>
          </w:tcPr>
          <w:p w14:paraId="00000038"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1. Locate account</w:t>
            </w:r>
          </w:p>
        </w:tc>
        <w:tc>
          <w:tcPr>
            <w:tcW w:w="8010" w:type="dxa"/>
          </w:tcPr>
          <w:p w14:paraId="0000003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Caller gives account name and address. The CEC opens Partners and checks that the status is Active. If it is not Active, nothing is created: the request goes to the salesperson or to the customer updates team, who handle documents or a new account application.</w:t>
            </w:r>
          </w:p>
        </w:tc>
      </w:tr>
      <w:tr w:rsidR="002738E0" w14:paraId="6ACA7EAF" w14:textId="77777777" w:rsidTr="54A12F5A">
        <w:trPr>
          <w:cantSplit/>
        </w:trPr>
        <w:tc>
          <w:tcPr>
            <w:tcW w:w="1935" w:type="dxa"/>
          </w:tcPr>
          <w:p w14:paraId="0000003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2. Read alerts</w:t>
            </w:r>
          </w:p>
        </w:tc>
        <w:tc>
          <w:tcPr>
            <w:tcW w:w="8010" w:type="dxa"/>
          </w:tcPr>
          <w:p w14:paraId="0000003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account shows an alert banner (for example an LTCH facility that wants delivery as soon as possible, or "orders BTS only"). A "requires PO" flag tells the agent to ask for a PO. Late-night callers are asked whether they need it now or in the morning.</w:t>
            </w:r>
          </w:p>
        </w:tc>
      </w:tr>
      <w:tr w:rsidR="002738E0" w14:paraId="0F11B90A" w14:textId="77777777" w:rsidTr="54A12F5A">
        <w:trPr>
          <w:cantSplit/>
        </w:trPr>
        <w:tc>
          <w:tcPr>
            <w:tcW w:w="1935" w:type="dxa"/>
          </w:tcPr>
          <w:p w14:paraId="0000003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3. Caller details</w:t>
            </w:r>
          </w:p>
        </w:tc>
        <w:tc>
          <w:tcPr>
            <w:tcW w:w="8010" w:type="dxa"/>
          </w:tcPr>
          <w:p w14:paraId="0000003D"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First and last name, department, phone (or email if none). If the caller is not in the list, the agent adds a new contact.</w:t>
            </w:r>
          </w:p>
        </w:tc>
      </w:tr>
      <w:tr w:rsidR="002738E0" w14:paraId="4944B5C7" w14:textId="77777777" w:rsidTr="54A12F5A">
        <w:trPr>
          <w:cantSplit/>
        </w:trPr>
        <w:tc>
          <w:tcPr>
            <w:tcW w:w="1935" w:type="dxa"/>
          </w:tcPr>
          <w:p w14:paraId="0000003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4. Equipment</w:t>
            </w:r>
          </w:p>
        </w:tc>
        <w:tc>
          <w:tcPr>
            <w:tcW w:w="8010" w:type="dxa"/>
          </w:tcPr>
          <w:p w14:paraId="0000003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MME (bulk): go to the cart and the model catalog, search, add several items; no price is shown. BTS (beds): patient information first, then preferred models, then catalog or packages.</w:t>
            </w:r>
          </w:p>
        </w:tc>
      </w:tr>
      <w:tr w:rsidR="002738E0" w14:paraId="7E178A6E" w14:textId="77777777" w:rsidTr="54A12F5A">
        <w:trPr>
          <w:cantSplit/>
        </w:trPr>
        <w:tc>
          <w:tcPr>
            <w:tcW w:w="1935" w:type="dxa"/>
          </w:tcPr>
          <w:p w14:paraId="0000004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5. Details and notes</w:t>
            </w:r>
          </w:p>
        </w:tc>
        <w:tc>
          <w:tcPr>
            <w:tcW w:w="8010" w:type="dxa"/>
          </w:tcPr>
          <w:p w14:paraId="0000004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Software version if the customer already has it, PO if provided, breakdown of equipment and accessories typed into notes, delivery location, billing department (required for MME).</w:t>
            </w:r>
          </w:p>
        </w:tc>
      </w:tr>
      <w:tr w:rsidR="002738E0" w14:paraId="23B9705D" w14:textId="77777777" w:rsidTr="54A12F5A">
        <w:trPr>
          <w:cantSplit/>
        </w:trPr>
        <w:tc>
          <w:tcPr>
            <w:tcW w:w="1935" w:type="dxa"/>
          </w:tcPr>
          <w:p w14:paraId="0000004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6. Branch routing</w:t>
            </w:r>
          </w:p>
        </w:tc>
        <w:tc>
          <w:tcPr>
            <w:tcW w:w="8010" w:type="dxa"/>
          </w:tcPr>
          <w:p w14:paraId="00000043"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partner profile holds a service area that maps to a branch, set manually when the account is created. The branch to alert is shown. On the day the branch is notified by text; after hours the agent phones the on-call person.</w:t>
            </w:r>
          </w:p>
        </w:tc>
      </w:tr>
      <w:tr w:rsidR="002738E0" w14:paraId="156BAF6F" w14:textId="77777777" w:rsidTr="54A12F5A">
        <w:trPr>
          <w:cantSplit/>
        </w:trPr>
        <w:tc>
          <w:tcPr>
            <w:tcW w:w="1935" w:type="dxa"/>
          </w:tcPr>
          <w:p w14:paraId="0000004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7. Save</w:t>
            </w:r>
          </w:p>
        </w:tc>
        <w:tc>
          <w:tcPr>
            <w:tcW w:w="8010" w:type="dxa"/>
          </w:tcPr>
          <w:p w14:paraId="0000004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Saving sends an email to the caller (if the address is valid) and to everyone on the branch distribution list. The call log is Pending.</w:t>
            </w:r>
          </w:p>
        </w:tc>
      </w:tr>
      <w:tr w:rsidR="002738E0" w14:paraId="665B0A38" w14:textId="77777777" w:rsidTr="54A12F5A">
        <w:trPr>
          <w:cantSplit/>
        </w:trPr>
        <w:tc>
          <w:tcPr>
            <w:tcW w:w="1935" w:type="dxa"/>
          </w:tcPr>
          <w:p w14:paraId="0000004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8. Branch handling</w:t>
            </w:r>
          </w:p>
        </w:tc>
        <w:tc>
          <w:tcPr>
            <w:tcW w:w="8010" w:type="dxa"/>
          </w:tcPr>
          <w:p w14:paraId="0000004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Each branch sees only its own call logs, selects one, assigns a CSR, and changes Pending to Active, or cancels. A team lead may see several branches. The assigned CSR sees it on the mobile device.</w:t>
            </w:r>
          </w:p>
        </w:tc>
      </w:tr>
      <w:tr w:rsidR="002738E0" w14:paraId="7303A701" w14:textId="77777777" w:rsidTr="54A12F5A">
        <w:trPr>
          <w:cantSplit/>
        </w:trPr>
        <w:tc>
          <w:tcPr>
            <w:tcW w:w="1935" w:type="dxa"/>
          </w:tcPr>
          <w:p w14:paraId="0000004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9. Substitution</w:t>
            </w:r>
          </w:p>
        </w:tc>
        <w:tc>
          <w:tcPr>
            <w:tcW w:w="8010" w:type="dxa"/>
          </w:tcPr>
          <w:p w14:paraId="0000004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branch picks a compatible model, quantity and reason. The original line is cancelled and a new line added; the original is kept for audit and billing uses the original price.</w:t>
            </w:r>
          </w:p>
        </w:tc>
      </w:tr>
      <w:tr w:rsidR="002738E0" w14:paraId="3EA28DB8" w14:textId="77777777" w:rsidTr="54A12F5A">
        <w:trPr>
          <w:cantSplit/>
        </w:trPr>
        <w:tc>
          <w:tcPr>
            <w:tcW w:w="1935" w:type="dxa"/>
          </w:tcPr>
          <w:p w14:paraId="0000004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10. Completion</w:t>
            </w:r>
          </w:p>
        </w:tc>
        <w:tc>
          <w:tcPr>
            <w:tcW w:w="8010" w:type="dxa"/>
          </w:tcPr>
          <w:p w14:paraId="0000004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No order exists until the branch confirms delivery. Once the call log shows delivered or completed, the order lines and billing start are built.</w:t>
            </w:r>
          </w:p>
        </w:tc>
      </w:tr>
    </w:tbl>
    <w:p w14:paraId="0000004C" w14:textId="77777777" w:rsidR="002738E0" w:rsidRDefault="00356CE0">
      <w:pPr>
        <w:spacing w:after="160" w:line="259" w:lineRule="auto"/>
      </w:pPr>
      <w:r>
        <w:br w:type="page"/>
      </w:r>
    </w:p>
    <w:p w14:paraId="0000004D" w14:textId="77777777" w:rsidR="002738E0" w:rsidRDefault="00356CE0">
      <w:pPr>
        <w:keepNext/>
        <w:spacing w:after="160" w:line="259" w:lineRule="auto"/>
        <w:jc w:val="center"/>
        <w:rPr>
          <w:rFonts w:ascii="Calibri" w:eastAsia="Calibri" w:hAnsi="Calibri" w:cs="Calibri"/>
        </w:rPr>
      </w:pPr>
      <w:r>
        <w:rPr>
          <w:rFonts w:ascii="Calibri" w:eastAsia="Calibri" w:hAnsi="Calibri" w:cs="Calibri"/>
          <w:noProof/>
        </w:rPr>
        <w:lastRenderedPageBreak/>
        <w:drawing>
          <wp:inline distT="0" distB="0" distL="114300" distR="114300" wp14:anchorId="3253FBB3" wp14:editId="07777777">
            <wp:extent cx="5943600" cy="262769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627697"/>
                    </a:xfrm>
                    <a:prstGeom prst="rect">
                      <a:avLst/>
                    </a:prstGeom>
                    <a:ln/>
                  </pic:spPr>
                </pic:pic>
              </a:graphicData>
            </a:graphic>
          </wp:inline>
        </w:drawing>
      </w:r>
    </w:p>
    <w:p w14:paraId="0000004E" w14:textId="77777777" w:rsidR="002738E0" w:rsidRDefault="00356CE0">
      <w:pPr>
        <w:spacing w:after="160" w:line="259" w:lineRule="auto"/>
        <w:jc w:val="center"/>
        <w:rPr>
          <w:rFonts w:ascii="Calibri" w:eastAsia="Calibri" w:hAnsi="Calibri" w:cs="Calibri"/>
          <w:i/>
          <w:iCs/>
          <w:sz w:val="18"/>
          <w:szCs w:val="18"/>
        </w:rPr>
      </w:pPr>
      <w:r>
        <w:rPr>
          <w:rFonts w:ascii="Calibri" w:eastAsia="Calibri" w:hAnsi="Calibri" w:cs="Calibri"/>
          <w:i/>
          <w:iCs/>
          <w:sz w:val="18"/>
          <w:szCs w:val="18"/>
        </w:rPr>
        <w:t>Figure 1. Request lifecycle from intake to reconciliation (legacy behavior carried into the new register)</w:t>
      </w:r>
    </w:p>
    <w:p w14:paraId="0000004F" w14:textId="77777777" w:rsidR="002738E0" w:rsidRDefault="00356CE0">
      <w:pPr>
        <w:pStyle w:val="Heading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Clarified terms and rules</w:t>
      </w:r>
    </w:p>
    <w:tbl>
      <w:tblPr>
        <w:tblStyle w:val="a3"/>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7343"/>
      </w:tblGrid>
      <w:tr w:rsidR="002738E0" w14:paraId="0FF492FB" w14:textId="77777777" w:rsidTr="54A12F5A">
        <w:trPr>
          <w:tblHeader/>
        </w:trPr>
        <w:tc>
          <w:tcPr>
            <w:tcW w:w="2015" w:type="dxa"/>
            <w:shd w:val="clear" w:color="auto" w:fill="F2F2F2" w:themeFill="background1" w:themeFillShade="F2"/>
          </w:tcPr>
          <w:p w14:paraId="0000005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Term or rule</w:t>
            </w:r>
          </w:p>
        </w:tc>
        <w:tc>
          <w:tcPr>
            <w:tcW w:w="7343" w:type="dxa"/>
            <w:shd w:val="clear" w:color="auto" w:fill="F2F2F2" w:themeFill="background1" w:themeFillShade="F2"/>
          </w:tcPr>
          <w:p w14:paraId="0000005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Meaning</w:t>
            </w:r>
          </w:p>
        </w:tc>
      </w:tr>
      <w:tr w:rsidR="002738E0" w14:paraId="6D06A437" w14:textId="77777777" w:rsidTr="54A12F5A">
        <w:trPr>
          <w:cantSplit/>
        </w:trPr>
        <w:tc>
          <w:tcPr>
            <w:tcW w:w="2015" w:type="dxa"/>
          </w:tcPr>
          <w:p w14:paraId="0000005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Swap</w:t>
            </w:r>
          </w:p>
        </w:tc>
        <w:tc>
          <w:tcPr>
            <w:tcW w:w="7343" w:type="dxa"/>
          </w:tcPr>
          <w:p w14:paraId="0000005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Replace an item with the same model, for a malfunction or a PM due. It records an exchange of the same item and creates one linked delivery and one linked pickup call log, with no price change.</w:t>
            </w:r>
          </w:p>
        </w:tc>
      </w:tr>
      <w:tr w:rsidR="002738E0" w14:paraId="47915CED" w14:textId="77777777" w:rsidTr="54A12F5A">
        <w:trPr>
          <w:cantSplit/>
        </w:trPr>
        <w:tc>
          <w:tcPr>
            <w:tcW w:w="2015" w:type="dxa"/>
          </w:tcPr>
          <w:p w14:paraId="0000005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Stand by</w:t>
            </w:r>
          </w:p>
        </w:tc>
        <w:tc>
          <w:tcPr>
            <w:tcW w:w="7343" w:type="dxa"/>
          </w:tcPr>
          <w:p w14:paraId="0000005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Drop off equipment at a location at no charge. It does not start a rental. Today it is a manual checkbox; the system does not set it automatically.</w:t>
            </w:r>
          </w:p>
        </w:tc>
      </w:tr>
      <w:tr w:rsidR="002738E0" w14:paraId="3A8259FD" w14:textId="77777777" w:rsidTr="54A12F5A">
        <w:trPr>
          <w:cantSplit/>
        </w:trPr>
        <w:tc>
          <w:tcPr>
            <w:tcW w:w="2015" w:type="dxa"/>
          </w:tcPr>
          <w:p w14:paraId="0000005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Exchange</w:t>
            </w:r>
          </w:p>
        </w:tc>
        <w:tc>
          <w:tcPr>
            <w:tcW w:w="7343" w:type="dxa"/>
          </w:tcPr>
          <w:p w14:paraId="0000005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customer wants a different model. It is two separate, unlinked actions, and the customer pays any price difference. If USME's own stock shortfall forces a different model, the original contract price is kept.</w:t>
            </w:r>
          </w:p>
        </w:tc>
      </w:tr>
      <w:tr w:rsidR="002738E0" w14:paraId="72A3D52D" w14:textId="77777777" w:rsidTr="54A12F5A">
        <w:trPr>
          <w:cantSplit/>
        </w:trPr>
        <w:tc>
          <w:tcPr>
            <w:tcW w:w="2015" w:type="dxa"/>
          </w:tcPr>
          <w:p w14:paraId="0000005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Demo / loaner</w:t>
            </w:r>
          </w:p>
        </w:tc>
        <w:tc>
          <w:tcPr>
            <w:tcW w:w="7343" w:type="dxa"/>
          </w:tcPr>
          <w:p w14:paraId="0000005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no-cost call log for equipment to be tested or reviewed, usually requested by BDRs or branches, with a start and end date.</w:t>
            </w:r>
          </w:p>
        </w:tc>
      </w:tr>
      <w:tr w:rsidR="002738E0" w14:paraId="536E757B" w14:textId="77777777" w:rsidTr="54A12F5A">
        <w:trPr>
          <w:cantSplit/>
        </w:trPr>
        <w:tc>
          <w:tcPr>
            <w:tcW w:w="2015" w:type="dxa"/>
          </w:tcPr>
          <w:p w14:paraId="0000005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Exclude from KPI</w:t>
            </w:r>
          </w:p>
        </w:tc>
        <w:tc>
          <w:tcPr>
            <w:tcW w:w="7343" w:type="dxa"/>
          </w:tcPr>
          <w:p w14:paraId="0000005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checkbox used only by regional operations managers, before the status leaves Pending, for events such as bad weather that make a delivery miss the two-hour window.</w:t>
            </w:r>
          </w:p>
        </w:tc>
      </w:tr>
      <w:tr w:rsidR="002738E0" w14:paraId="3CCBFD89" w14:textId="77777777" w:rsidTr="54A12F5A">
        <w:trPr>
          <w:cantSplit/>
        </w:trPr>
        <w:tc>
          <w:tcPr>
            <w:tcW w:w="2015" w:type="dxa"/>
          </w:tcPr>
          <w:p w14:paraId="0000005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Dates on a call log</w:t>
            </w:r>
          </w:p>
        </w:tc>
        <w:tc>
          <w:tcPr>
            <w:tcW w:w="7343" w:type="dxa"/>
          </w:tcPr>
          <w:p w14:paraId="0000005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Used only for a future delivery or a future pickup (for example a pickup on Friday called in on Monday). They are not used for past dates. They act as the start and stop dates. The earliest future date is the next business day; ASAP is the default (about 95%).</w:t>
            </w:r>
          </w:p>
        </w:tc>
      </w:tr>
      <w:tr w:rsidR="002738E0" w14:paraId="4A7729B8" w14:textId="77777777" w:rsidTr="54A12F5A">
        <w:trPr>
          <w:cantSplit/>
        </w:trPr>
        <w:tc>
          <w:tcPr>
            <w:tcW w:w="2015" w:type="dxa"/>
          </w:tcPr>
          <w:p w14:paraId="0000005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Pending vs Active</w:t>
            </w:r>
          </w:p>
        </w:tc>
        <w:tc>
          <w:tcPr>
            <w:tcW w:w="7343" w:type="dxa"/>
          </w:tcPr>
          <w:p w14:paraId="0000005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Deliveries start Pending Branch Confirmation. Pickups are Active at once. Nothing is complete until the branch checks the delivery off on its phone or system, or scans the equipment back into the warehouse. The branch then reconciles as a second step.</w:t>
            </w:r>
          </w:p>
        </w:tc>
      </w:tr>
      <w:tr w:rsidR="002738E0" w14:paraId="60FF01B6" w14:textId="77777777" w:rsidTr="54A12F5A">
        <w:trPr>
          <w:cantSplit/>
        </w:trPr>
        <w:tc>
          <w:tcPr>
            <w:tcW w:w="2015" w:type="dxa"/>
          </w:tcPr>
          <w:p w14:paraId="0000006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Billing stamps</w:t>
            </w:r>
          </w:p>
        </w:tc>
        <w:tc>
          <w:tcPr>
            <w:tcW w:w="7343" w:type="dxa"/>
          </w:tcPr>
          <w:p w14:paraId="0000006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delivery always carries a billing start, stamped when the delivery is completed. A pickup always carries a billing end, stamped when the pickup is logged, not when it is collected. Before then the fields show as expected.</w:t>
            </w:r>
          </w:p>
        </w:tc>
      </w:tr>
      <w:tr w:rsidR="002738E0" w14:paraId="2880A529" w14:textId="77777777" w:rsidTr="54A12F5A">
        <w:trPr>
          <w:cantSplit/>
        </w:trPr>
        <w:tc>
          <w:tcPr>
            <w:tcW w:w="2015" w:type="dxa"/>
          </w:tcPr>
          <w:p w14:paraId="0000006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Preferred models</w:t>
            </w:r>
          </w:p>
        </w:tc>
        <w:tc>
          <w:tcPr>
            <w:tcW w:w="7343" w:type="dxa"/>
          </w:tcPr>
          <w:p w14:paraId="00000063"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If an account has preferred models, the agent must choose from them and uses the full catalog only for items outside the list. They were set up by report: models ordered 15 or more times a month became each account's preferred list, entered by hand.</w:t>
            </w:r>
          </w:p>
        </w:tc>
      </w:tr>
      <w:tr w:rsidR="002738E0" w14:paraId="6E5E9CDD" w14:textId="77777777" w:rsidTr="54A12F5A">
        <w:trPr>
          <w:cantSplit/>
        </w:trPr>
        <w:tc>
          <w:tcPr>
            <w:tcW w:w="2015" w:type="dxa"/>
          </w:tcPr>
          <w:p w14:paraId="0000006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Packages</w:t>
            </w:r>
          </w:p>
        </w:tc>
        <w:tc>
          <w:tcPr>
            <w:tcW w:w="7343" w:type="dxa"/>
          </w:tcPr>
          <w:p w14:paraId="00000065"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package bundles a mattress, blower and frame (for example Freedom Advanced Wave XMS for bariatric) so the agent picks one line. A package carries one price for everything in it.</w:t>
            </w:r>
          </w:p>
        </w:tc>
      </w:tr>
    </w:tbl>
    <w:p w14:paraId="00000066" w14:textId="77777777" w:rsidR="002738E0" w:rsidRDefault="002738E0">
      <w:pPr>
        <w:spacing w:after="160" w:line="259" w:lineRule="auto"/>
        <w:rPr>
          <w:rFonts w:ascii="Calibri" w:eastAsia="Calibri" w:hAnsi="Calibri" w:cs="Calibri"/>
          <w:sz w:val="20"/>
          <w:szCs w:val="20"/>
        </w:rPr>
      </w:pPr>
    </w:p>
    <w:p w14:paraId="00000067" w14:textId="77777777" w:rsidR="002738E0" w:rsidRDefault="00356CE0">
      <w:pPr>
        <w:pStyle w:val="Heading2"/>
        <w:keepLines w:val="0"/>
        <w:spacing w:before="280" w:after="100" w:line="259" w:lineRule="auto"/>
        <w:rPr>
          <w:rFonts w:ascii="Calibri" w:eastAsia="Calibri" w:hAnsi="Calibri" w:cs="Calibri"/>
          <w:b/>
          <w:bCs/>
          <w:color w:val="2F5496"/>
        </w:rPr>
      </w:pPr>
      <w:bookmarkStart w:id="4" w:name="_1rw9nkojeapa" w:colFirst="0" w:colLast="0"/>
      <w:bookmarkEnd w:id="4"/>
      <w:r>
        <w:rPr>
          <w:rFonts w:ascii="Calibri" w:eastAsia="Calibri" w:hAnsi="Calibri" w:cs="Calibri"/>
          <w:b/>
          <w:bCs/>
          <w:color w:val="2F5496"/>
        </w:rPr>
        <w:t>Call Log Request Register</w:t>
      </w:r>
    </w:p>
    <w:p w14:paraId="00000068" w14:textId="77777777" w:rsidR="002738E0" w:rsidRDefault="00356CE0">
      <w:pPr>
        <w:pStyle w:val="Heading3"/>
        <w:keepLines w:val="0"/>
        <w:spacing w:before="240" w:line="259" w:lineRule="auto"/>
        <w:rPr>
          <w:rFonts w:ascii="Calibri" w:eastAsia="Calibri" w:hAnsi="Calibri" w:cs="Calibri"/>
          <w:b/>
          <w:bCs/>
          <w:color w:val="000000"/>
        </w:rPr>
      </w:pPr>
      <w:bookmarkStart w:id="5" w:name="_2vwu8xb018b5" w:colFirst="0" w:colLast="0"/>
      <w:bookmarkEnd w:id="5"/>
      <w:r>
        <w:rPr>
          <w:rFonts w:ascii="Calibri" w:eastAsia="Calibri" w:hAnsi="Calibri" w:cs="Calibri"/>
          <w:b/>
          <w:bCs/>
          <w:color w:val="000000"/>
        </w:rPr>
        <w:t>A. Account validation and intake</w:t>
      </w:r>
    </w:p>
    <w:tbl>
      <w:tblPr>
        <w:tblStyle w:val="a4"/>
        <w:tblW w:w="9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00"/>
      </w:tblGrid>
      <w:tr w:rsidR="002738E0" w14:paraId="7407B067" w14:textId="77777777" w:rsidTr="54A12F5A">
        <w:trPr>
          <w:tblHeader/>
        </w:trPr>
        <w:tc>
          <w:tcPr>
            <w:tcW w:w="1080" w:type="dxa"/>
            <w:shd w:val="clear" w:color="auto" w:fill="F2F2F2" w:themeFill="background1" w:themeFillShade="F2"/>
          </w:tcPr>
          <w:p w14:paraId="0000006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0000006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00" w:type="dxa"/>
            <w:shd w:val="clear" w:color="auto" w:fill="F2F2F2" w:themeFill="background1" w:themeFillShade="F2"/>
          </w:tcPr>
          <w:p w14:paraId="0000006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3A64B62E" w14:textId="77777777" w:rsidTr="54A12F5A">
        <w:trPr>
          <w:cantSplit/>
        </w:trPr>
        <w:tc>
          <w:tcPr>
            <w:tcW w:w="1080" w:type="dxa"/>
          </w:tcPr>
          <w:p w14:paraId="0000006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CLR-001</w:t>
            </w:r>
          </w:p>
        </w:tc>
        <w:tc>
          <w:tcPr>
            <w:tcW w:w="4830" w:type="dxa"/>
          </w:tcPr>
          <w:p w14:paraId="0000006D"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Before any request is created the register checks the account status. A request cannot be created for an account that is not Active, whether it comes from the CEC, the portal, EDI or any other channel.</w:t>
            </w:r>
          </w:p>
        </w:tc>
        <w:tc>
          <w:tcPr>
            <w:tcW w:w="3600" w:type="dxa"/>
          </w:tcPr>
          <w:p w14:paraId="0000006E"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Attempt on an inactive account is blocked with a message naming the status; no record is created.</w:t>
            </w:r>
          </w:p>
        </w:tc>
      </w:tr>
      <w:tr w:rsidR="002738E0" w14:paraId="08FED1F9" w14:textId="77777777" w:rsidTr="54A12F5A">
        <w:trPr>
          <w:cantSplit/>
        </w:trPr>
        <w:tc>
          <w:tcPr>
            <w:tcW w:w="1080" w:type="dxa"/>
          </w:tcPr>
          <w:p w14:paraId="0000006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CLR-002</w:t>
            </w:r>
          </w:p>
        </w:tc>
        <w:tc>
          <w:tcPr>
            <w:tcW w:w="4830" w:type="dxa"/>
          </w:tcPr>
          <w:p w14:paraId="00000070"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For a non-active </w:t>
            </w:r>
            <w:proofErr w:type="gramStart"/>
            <w:r w:rsidRPr="54A12F5A">
              <w:rPr>
                <w:rFonts w:ascii="Calibri" w:eastAsia="Calibri" w:hAnsi="Calibri" w:cs="Calibri"/>
                <w:sz w:val="20"/>
                <w:szCs w:val="20"/>
                <w:lang w:val="en-US"/>
              </w:rPr>
              <w:t>account</w:t>
            </w:r>
            <w:proofErr w:type="gramEnd"/>
            <w:r w:rsidRPr="54A12F5A">
              <w:rPr>
                <w:rFonts w:ascii="Calibri" w:eastAsia="Calibri" w:hAnsi="Calibri" w:cs="Calibri"/>
                <w:sz w:val="20"/>
                <w:szCs w:val="20"/>
                <w:lang w:val="en-US"/>
              </w:rPr>
              <w:t xml:space="preserve"> the agent can send a referral to the account's salesperson or the customer updates team from the same screen, so the lead is not lost. The referral is a lightweight record, not a request.</w:t>
            </w:r>
          </w:p>
        </w:tc>
        <w:tc>
          <w:tcPr>
            <w:tcW w:w="3600" w:type="dxa"/>
          </w:tcPr>
          <w:p w14:paraId="0000007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Referral stores account, caller, request summary, user and time [Validate].</w:t>
            </w:r>
          </w:p>
        </w:tc>
      </w:tr>
      <w:tr w:rsidR="002738E0" w14:paraId="442A14D9" w14:textId="77777777" w:rsidTr="54A12F5A">
        <w:trPr>
          <w:cantSplit/>
        </w:trPr>
        <w:tc>
          <w:tcPr>
            <w:tcW w:w="1080" w:type="dxa"/>
          </w:tcPr>
          <w:p w14:paraId="0000007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CLR-003</w:t>
            </w:r>
          </w:p>
        </w:tc>
        <w:tc>
          <w:tcPr>
            <w:tcW w:w="4830" w:type="dxa"/>
          </w:tcPr>
          <w:p w14:paraId="00000073"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account search finds Active accounts by account number, name or address, and shows the account alert banner (for example facility type, "orders BTS only", delivery preferences) before the agent continues.</w:t>
            </w:r>
          </w:p>
        </w:tc>
        <w:tc>
          <w:tcPr>
            <w:tcW w:w="3600" w:type="dxa"/>
          </w:tcPr>
          <w:p w14:paraId="0000007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Alert text is visible without extra clicks and can be edited by authorized users.</w:t>
            </w:r>
          </w:p>
        </w:tc>
      </w:tr>
      <w:tr w:rsidR="002738E0" w14:paraId="496C1058" w14:textId="77777777" w:rsidTr="54A12F5A">
        <w:trPr>
          <w:cantSplit/>
        </w:trPr>
        <w:tc>
          <w:tcPr>
            <w:tcW w:w="1080" w:type="dxa"/>
          </w:tcPr>
          <w:p w14:paraId="0000007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CLR-004</w:t>
            </w:r>
          </w:p>
        </w:tc>
        <w:tc>
          <w:tcPr>
            <w:tcW w:w="4830" w:type="dxa"/>
          </w:tcPr>
          <w:p w14:paraId="0000007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Accounts flagged "PO required" prompt the agent to ask for a PO. The prompt is a confirmation, not a block: if the caller has no PO the agent can continue.</w:t>
            </w:r>
          </w:p>
        </w:tc>
        <w:tc>
          <w:tcPr>
            <w:tcW w:w="3600" w:type="dxa"/>
          </w:tcPr>
          <w:p w14:paraId="0000007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Saving without a PO shows "continue without PO?" and succeeds on Yes (see PRT-205).</w:t>
            </w:r>
          </w:p>
        </w:tc>
      </w:tr>
      <w:tr w:rsidR="002738E0" w14:paraId="6172B939" w14:textId="77777777" w:rsidTr="54A12F5A">
        <w:trPr>
          <w:cantSplit/>
        </w:trPr>
        <w:tc>
          <w:tcPr>
            <w:tcW w:w="1080" w:type="dxa"/>
          </w:tcPr>
          <w:p w14:paraId="0000007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CLR-005</w:t>
            </w:r>
          </w:p>
        </w:tc>
        <w:tc>
          <w:tcPr>
            <w:tcW w:w="4830" w:type="dxa"/>
          </w:tcPr>
          <w:p w14:paraId="0000007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register shows the account's after-hours prompt when the call arrives outside business hours, so the agent can ask whether delivery is needed now or the next morning.</w:t>
            </w:r>
          </w:p>
        </w:tc>
        <w:tc>
          <w:tcPr>
            <w:tcW w:w="3600" w:type="dxa"/>
          </w:tcPr>
          <w:p w14:paraId="0000007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Prompt appears based on the account and branch time zone.</w:t>
            </w:r>
          </w:p>
        </w:tc>
      </w:tr>
      <w:tr w:rsidR="002738E0" w14:paraId="360E580D" w14:textId="77777777" w:rsidTr="54A12F5A">
        <w:trPr>
          <w:cantSplit/>
        </w:trPr>
        <w:tc>
          <w:tcPr>
            <w:tcW w:w="1080" w:type="dxa"/>
          </w:tcPr>
          <w:p w14:paraId="0000007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CLR-006</w:t>
            </w:r>
          </w:p>
        </w:tc>
        <w:tc>
          <w:tcPr>
            <w:tcW w:w="4830" w:type="dxa"/>
          </w:tcPr>
          <w:p w14:paraId="0000007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All intake channels (CEC phone, portal, EDI, email, fax OCR, SFTP, Power Automate, API) create requests in the same register through one shared intake service, each stamped with source, originating user or system, time and any external reference.</w:t>
            </w:r>
          </w:p>
        </w:tc>
        <w:tc>
          <w:tcPr>
            <w:tcW w:w="3600" w:type="dxa"/>
          </w:tcPr>
          <w:p w14:paraId="0000007D"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Two requests for the same item from two channels are detected (see CLR-043); source is reportable.</w:t>
            </w:r>
          </w:p>
        </w:tc>
      </w:tr>
    </w:tbl>
    <w:p w14:paraId="0000007E" w14:textId="77777777" w:rsidR="002738E0" w:rsidRDefault="00356CE0">
      <w:pPr>
        <w:spacing w:after="160" w:line="259" w:lineRule="auto"/>
      </w:pPr>
      <w:r>
        <w:br w:type="page"/>
      </w:r>
    </w:p>
    <w:p w14:paraId="0000007F"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6" w:name="_1acsawqsjnjf"/>
      <w:bookmarkEnd w:id="6"/>
      <w:r w:rsidRPr="54A12F5A">
        <w:rPr>
          <w:rFonts w:ascii="Calibri" w:eastAsia="Calibri" w:hAnsi="Calibri" w:cs="Calibri"/>
          <w:b/>
          <w:bCs/>
          <w:color w:val="000000" w:themeColor="text1"/>
          <w:sz w:val="24"/>
          <w:szCs w:val="24"/>
          <w:lang w:val="en-US"/>
        </w:rPr>
        <w:lastRenderedPageBreak/>
        <w:t>B. Caller, contact and request type</w:t>
      </w:r>
    </w:p>
    <w:tbl>
      <w:tblPr>
        <w:tblStyle w:val="a5"/>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012F0CAE" w14:textId="77777777" w:rsidTr="54A12F5A">
        <w:trPr>
          <w:tblHeader/>
        </w:trPr>
        <w:tc>
          <w:tcPr>
            <w:tcW w:w="1080" w:type="dxa"/>
            <w:shd w:val="clear" w:color="auto" w:fill="F2F2F2" w:themeFill="background1" w:themeFillShade="F2"/>
          </w:tcPr>
          <w:p w14:paraId="0000008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0000008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75" w:type="dxa"/>
            <w:shd w:val="clear" w:color="auto" w:fill="F2F2F2" w:themeFill="background1" w:themeFillShade="F2"/>
          </w:tcPr>
          <w:p w14:paraId="0000008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5B7E3F04" w14:textId="77777777" w:rsidTr="54A12F5A">
        <w:trPr>
          <w:cantSplit/>
        </w:trPr>
        <w:tc>
          <w:tcPr>
            <w:tcW w:w="1080" w:type="dxa"/>
          </w:tcPr>
          <w:p w14:paraId="0000008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CLR-010</w:t>
            </w:r>
          </w:p>
        </w:tc>
        <w:tc>
          <w:tcPr>
            <w:tcW w:w="4830" w:type="dxa"/>
          </w:tcPr>
          <w:p w14:paraId="0000008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agent selects a caller from the account's contacts, or adds a new contact in place with name, phone and email. A request needs a phone or an email for confirmation.</w:t>
            </w:r>
          </w:p>
        </w:tc>
        <w:tc>
          <w:tcPr>
            <w:tcW w:w="3675" w:type="dxa"/>
          </w:tcPr>
          <w:p w14:paraId="0000008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New contact is saved on the account and selected on the request.</w:t>
            </w:r>
          </w:p>
        </w:tc>
      </w:tr>
      <w:tr w:rsidR="002738E0" w14:paraId="16A3A2D9" w14:textId="77777777" w:rsidTr="54A12F5A">
        <w:trPr>
          <w:cantSplit/>
        </w:trPr>
        <w:tc>
          <w:tcPr>
            <w:tcW w:w="1080" w:type="dxa"/>
          </w:tcPr>
          <w:p w14:paraId="0000008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CLR-011</w:t>
            </w:r>
          </w:p>
        </w:tc>
        <w:tc>
          <w:tcPr>
            <w:tcW w:w="4830" w:type="dxa"/>
          </w:tcPr>
          <w:p w14:paraId="0000008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agent selects the caller's department. The billing department is selected separately and defaults from the department; it is mandatory for MME requests.</w:t>
            </w:r>
          </w:p>
        </w:tc>
        <w:tc>
          <w:tcPr>
            <w:tcW w:w="3675" w:type="dxa"/>
          </w:tcPr>
          <w:p w14:paraId="0000008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MME requests cannot be saved without a billing department.</w:t>
            </w:r>
          </w:p>
        </w:tc>
      </w:tr>
      <w:tr w:rsidR="002738E0" w14:paraId="0FEE6F7B" w14:textId="77777777" w:rsidTr="54A12F5A">
        <w:trPr>
          <w:cantSplit/>
        </w:trPr>
        <w:tc>
          <w:tcPr>
            <w:tcW w:w="1080" w:type="dxa"/>
          </w:tcPr>
          <w:p w14:paraId="0000008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CLR-012</w:t>
            </w:r>
          </w:p>
        </w:tc>
        <w:tc>
          <w:tcPr>
            <w:tcW w:w="4830" w:type="dxa"/>
          </w:tcPr>
          <w:p w14:paraId="0000008A"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Request types: Delivery, Pickup, Swap, </w:t>
            </w:r>
            <w:proofErr w:type="gramStart"/>
            <w:r w:rsidRPr="54A12F5A">
              <w:rPr>
                <w:rFonts w:ascii="Calibri" w:eastAsia="Calibri" w:hAnsi="Calibri" w:cs="Calibri"/>
                <w:sz w:val="20"/>
                <w:szCs w:val="20"/>
                <w:lang w:val="en-US"/>
              </w:rPr>
              <w:t>Stand</w:t>
            </w:r>
            <w:proofErr w:type="gramEnd"/>
            <w:r w:rsidRPr="54A12F5A">
              <w:rPr>
                <w:rFonts w:ascii="Calibri" w:eastAsia="Calibri" w:hAnsi="Calibri" w:cs="Calibri"/>
                <w:sz w:val="20"/>
                <w:szCs w:val="20"/>
                <w:lang w:val="en-US"/>
              </w:rPr>
              <w:t xml:space="preserve"> by, Demo / loaner, Exchange, Unit transfer, Consignment start and stop. One request can hold deliveries and pickups together (the legacy screen shows both).</w:t>
            </w:r>
          </w:p>
        </w:tc>
        <w:tc>
          <w:tcPr>
            <w:tcW w:w="3675" w:type="dxa"/>
          </w:tcPr>
          <w:p w14:paraId="0000008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Each type has its own validation set and shares one request model.</w:t>
            </w:r>
          </w:p>
        </w:tc>
      </w:tr>
      <w:tr w:rsidR="002738E0" w14:paraId="1611071D" w14:textId="77777777" w:rsidTr="54A12F5A">
        <w:trPr>
          <w:cantSplit/>
        </w:trPr>
        <w:tc>
          <w:tcPr>
            <w:tcW w:w="1080" w:type="dxa"/>
          </w:tcPr>
          <w:p w14:paraId="0000008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CLR-013</w:t>
            </w:r>
          </w:p>
        </w:tc>
        <w:tc>
          <w:tcPr>
            <w:tcW w:w="4830" w:type="dxa"/>
          </w:tcPr>
          <w:p w14:paraId="0000008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Equipment type (modality) is MME (bulk, department-linked, multi-item) or BTS (beds, patient-linked). BTS shows patient fields; MME does not.</w:t>
            </w:r>
          </w:p>
        </w:tc>
        <w:tc>
          <w:tcPr>
            <w:tcW w:w="3675" w:type="dxa"/>
          </w:tcPr>
          <w:p w14:paraId="0000008E"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MME has no patient fields; BTS requires them per CLR-020.</w:t>
            </w:r>
          </w:p>
        </w:tc>
      </w:tr>
    </w:tbl>
    <w:p w14:paraId="0000008F" w14:textId="77777777" w:rsidR="002738E0" w:rsidRDefault="00356CE0">
      <w:pPr>
        <w:pStyle w:val="Heading3"/>
        <w:keepLines w:val="0"/>
        <w:spacing w:before="240" w:line="259" w:lineRule="auto"/>
        <w:rPr>
          <w:rFonts w:ascii="Calibri" w:eastAsia="Calibri" w:hAnsi="Calibri" w:cs="Calibri"/>
          <w:b/>
          <w:bCs/>
          <w:color w:val="000000"/>
          <w:sz w:val="24"/>
          <w:szCs w:val="24"/>
        </w:rPr>
      </w:pPr>
      <w:bookmarkStart w:id="7" w:name="_zb36hhpv3sl3" w:colFirst="0" w:colLast="0"/>
      <w:bookmarkEnd w:id="7"/>
      <w:r>
        <w:rPr>
          <w:rFonts w:ascii="Calibri" w:eastAsia="Calibri" w:hAnsi="Calibri" w:cs="Calibri"/>
          <w:b/>
          <w:bCs/>
          <w:color w:val="000000"/>
          <w:sz w:val="24"/>
          <w:szCs w:val="24"/>
        </w:rPr>
        <w:t>C. Patient data for BTS</w:t>
      </w:r>
    </w:p>
    <w:tbl>
      <w:tblPr>
        <w:tblStyle w:val="a6"/>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75"/>
        <w:gridCol w:w="3645"/>
      </w:tblGrid>
      <w:tr w:rsidR="002738E0" w14:paraId="6CBD0591" w14:textId="77777777" w:rsidTr="54A12F5A">
        <w:trPr>
          <w:tblHeader/>
        </w:trPr>
        <w:tc>
          <w:tcPr>
            <w:tcW w:w="1080" w:type="dxa"/>
            <w:shd w:val="clear" w:color="auto" w:fill="F2F2F2" w:themeFill="background1" w:themeFillShade="F2"/>
          </w:tcPr>
          <w:p w14:paraId="0000009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75" w:type="dxa"/>
            <w:shd w:val="clear" w:color="auto" w:fill="F2F2F2" w:themeFill="background1" w:themeFillShade="F2"/>
          </w:tcPr>
          <w:p w14:paraId="0000009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45" w:type="dxa"/>
            <w:shd w:val="clear" w:color="auto" w:fill="F2F2F2" w:themeFill="background1" w:themeFillShade="F2"/>
          </w:tcPr>
          <w:p w14:paraId="0000009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51535917" w14:textId="77777777" w:rsidTr="54A12F5A">
        <w:trPr>
          <w:cantSplit/>
        </w:trPr>
        <w:tc>
          <w:tcPr>
            <w:tcW w:w="1080" w:type="dxa"/>
          </w:tcPr>
          <w:p w14:paraId="0000009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CLR-020</w:t>
            </w:r>
          </w:p>
        </w:tc>
        <w:tc>
          <w:tcPr>
            <w:tcW w:w="4875" w:type="dxa"/>
          </w:tcPr>
          <w:p w14:paraId="0000009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BTS requests capture patient first and last name, weight, height, unit, and room, and always delivery location. Which patient ID, room and others are mandatory is configured per account; the screen marks required fields with an asterisk and does not ask for optional ones.</w:t>
            </w:r>
          </w:p>
        </w:tc>
        <w:tc>
          <w:tcPr>
            <w:tcW w:w="3645" w:type="dxa"/>
          </w:tcPr>
          <w:p w14:paraId="0000009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Fields marked required by account configuration block save; others do not.</w:t>
            </w:r>
          </w:p>
        </w:tc>
      </w:tr>
      <w:tr w:rsidR="002738E0" w14:paraId="67D62843" w14:textId="77777777" w:rsidTr="54A12F5A">
        <w:trPr>
          <w:cantSplit/>
        </w:trPr>
        <w:tc>
          <w:tcPr>
            <w:tcW w:w="1080" w:type="dxa"/>
          </w:tcPr>
          <w:p w14:paraId="0000009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CLR-021</w:t>
            </w:r>
          </w:p>
        </w:tc>
        <w:tc>
          <w:tcPr>
            <w:tcW w:w="4875" w:type="dxa"/>
          </w:tcPr>
          <w:p w14:paraId="0000009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Patient identity stays in Salesforce. </w:t>
            </w:r>
            <w:proofErr w:type="spellStart"/>
            <w:r w:rsidRPr="54A12F5A">
              <w:rPr>
                <w:rFonts w:ascii="Calibri" w:eastAsia="Calibri" w:hAnsi="Calibri" w:cs="Calibri"/>
                <w:sz w:val="20"/>
                <w:szCs w:val="20"/>
                <w:lang w:val="en-US"/>
              </w:rPr>
              <w:t>GoTransverse</w:t>
            </w:r>
            <w:proofErr w:type="spellEnd"/>
            <w:r w:rsidRPr="54A12F5A">
              <w:rPr>
                <w:rFonts w:ascii="Calibri" w:eastAsia="Calibri" w:hAnsi="Calibri" w:cs="Calibri"/>
                <w:sz w:val="20"/>
                <w:szCs w:val="20"/>
                <w:lang w:val="en-US"/>
              </w:rPr>
              <w:t xml:space="preserve"> and Ascent receive a token only (see the tokenization requirements).</w:t>
            </w:r>
          </w:p>
        </w:tc>
        <w:tc>
          <w:tcPr>
            <w:tcW w:w="3645" w:type="dxa"/>
          </w:tcPr>
          <w:p w14:paraId="00000098"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 patient name or ID appears in any outbound message to GT or Workato.</w:t>
            </w:r>
          </w:p>
        </w:tc>
      </w:tr>
      <w:tr w:rsidR="002738E0" w14:paraId="69095839" w14:textId="77777777" w:rsidTr="54A12F5A">
        <w:trPr>
          <w:cantSplit/>
        </w:trPr>
        <w:tc>
          <w:tcPr>
            <w:tcW w:w="1080" w:type="dxa"/>
          </w:tcPr>
          <w:p w14:paraId="0000009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CLR-022</w:t>
            </w:r>
          </w:p>
        </w:tc>
        <w:tc>
          <w:tcPr>
            <w:tcW w:w="4875" w:type="dxa"/>
          </w:tcPr>
          <w:p w14:paraId="0000009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PO field accepts PO numbers only and warns that patient information must not be entered there.</w:t>
            </w:r>
          </w:p>
        </w:tc>
        <w:tc>
          <w:tcPr>
            <w:tcW w:w="3645" w:type="dxa"/>
          </w:tcPr>
          <w:p w14:paraId="0000009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Warning text appears next to every PO field (see PRT-218).</w:t>
            </w:r>
          </w:p>
        </w:tc>
      </w:tr>
    </w:tbl>
    <w:p w14:paraId="0000009C"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8" w:name="_vrtd5uxynaib"/>
      <w:bookmarkEnd w:id="8"/>
      <w:r w:rsidRPr="54A12F5A">
        <w:rPr>
          <w:rFonts w:ascii="Calibri" w:eastAsia="Calibri" w:hAnsi="Calibri" w:cs="Calibri"/>
          <w:b/>
          <w:bCs/>
          <w:color w:val="000000" w:themeColor="text1"/>
          <w:sz w:val="24"/>
          <w:szCs w:val="24"/>
          <w:lang w:val="en-US"/>
        </w:rPr>
        <w:t>D. Equipment selection</w:t>
      </w:r>
    </w:p>
    <w:tbl>
      <w:tblPr>
        <w:tblStyle w:val="a7"/>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90"/>
      </w:tblGrid>
      <w:tr w:rsidR="002738E0" w14:paraId="53C4AAE1" w14:textId="77777777" w:rsidTr="54A12F5A">
        <w:trPr>
          <w:tblHeader/>
        </w:trPr>
        <w:tc>
          <w:tcPr>
            <w:tcW w:w="1080" w:type="dxa"/>
            <w:shd w:val="clear" w:color="auto" w:fill="F2F2F2" w:themeFill="background1" w:themeFillShade="F2"/>
          </w:tcPr>
          <w:p w14:paraId="0000009D"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0000009E"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90" w:type="dxa"/>
            <w:shd w:val="clear" w:color="auto" w:fill="F2F2F2" w:themeFill="background1" w:themeFillShade="F2"/>
          </w:tcPr>
          <w:p w14:paraId="0000009F"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768DD314" w14:textId="77777777" w:rsidTr="54A12F5A">
        <w:trPr>
          <w:cantSplit/>
        </w:trPr>
        <w:tc>
          <w:tcPr>
            <w:tcW w:w="1080" w:type="dxa"/>
          </w:tcPr>
          <w:p w14:paraId="000000A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CLR-030</w:t>
            </w:r>
          </w:p>
        </w:tc>
        <w:tc>
          <w:tcPr>
            <w:tcW w:w="4830" w:type="dxa"/>
          </w:tcPr>
          <w:p w14:paraId="000000A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If the account has preferred models the agent must pick from that list first and can open the full model catalog only for items outside it. The preferred list is shown first by default.</w:t>
            </w:r>
          </w:p>
        </w:tc>
        <w:tc>
          <w:tcPr>
            <w:tcW w:w="3690" w:type="dxa"/>
          </w:tcPr>
          <w:p w14:paraId="000000A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Catalog access is logged when a non-preferred model is chosen [Validate].</w:t>
            </w:r>
          </w:p>
        </w:tc>
      </w:tr>
      <w:tr w:rsidR="002738E0" w14:paraId="1B59A50A" w14:textId="77777777" w:rsidTr="54A12F5A">
        <w:trPr>
          <w:cantSplit/>
        </w:trPr>
        <w:tc>
          <w:tcPr>
            <w:tcW w:w="1080" w:type="dxa"/>
          </w:tcPr>
          <w:p w14:paraId="000000A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CLR-031</w:t>
            </w:r>
          </w:p>
        </w:tc>
        <w:tc>
          <w:tcPr>
            <w:tcW w:w="4830" w:type="dxa"/>
          </w:tcPr>
          <w:p w14:paraId="000000A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Packages add all component lines (for example mattress, blower, frame) with one action. The agent asks the caller standard or bariatric and selects the matching package. A package carries one price for the group.</w:t>
            </w:r>
          </w:p>
        </w:tc>
        <w:tc>
          <w:tcPr>
            <w:tcW w:w="3690" w:type="dxa"/>
          </w:tcPr>
          <w:p w14:paraId="000000A5"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All components appear as lines under the package parent.</w:t>
            </w:r>
          </w:p>
        </w:tc>
      </w:tr>
      <w:tr w:rsidR="002738E0" w14:paraId="052DD68E" w14:textId="77777777" w:rsidTr="54A12F5A">
        <w:trPr>
          <w:cantSplit/>
        </w:trPr>
        <w:tc>
          <w:tcPr>
            <w:tcW w:w="1080" w:type="dxa"/>
          </w:tcPr>
          <w:p w14:paraId="000000A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CLR-032</w:t>
            </w:r>
          </w:p>
        </w:tc>
        <w:tc>
          <w:tcPr>
            <w:tcW w:w="4830" w:type="dxa"/>
          </w:tcPr>
          <w:p w14:paraId="000000A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Each model shows mandatory and optional accessories. The agent can untick an accessory the hospital already has. Optional accessories support upselling. Accessories are structured lines, not typed notes.</w:t>
            </w:r>
          </w:p>
        </w:tc>
        <w:tc>
          <w:tcPr>
            <w:tcW w:w="3690" w:type="dxa"/>
          </w:tcPr>
          <w:p w14:paraId="000000A8"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Delivered accessories are listed on the request so all can be collected at pickup.</w:t>
            </w:r>
          </w:p>
        </w:tc>
      </w:tr>
      <w:tr w:rsidR="002738E0" w14:paraId="4A50CB8B" w14:textId="77777777" w:rsidTr="54A12F5A">
        <w:trPr>
          <w:cantSplit/>
        </w:trPr>
        <w:tc>
          <w:tcPr>
            <w:tcW w:w="1080" w:type="dxa"/>
          </w:tcPr>
          <w:p w14:paraId="000000A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CLR-033</w:t>
            </w:r>
          </w:p>
        </w:tc>
        <w:tc>
          <w:tcPr>
            <w:tcW w:w="4830" w:type="dxa"/>
          </w:tcPr>
          <w:p w14:paraId="000000AA"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Software version or option can be recorded when the customer already has one.</w:t>
            </w:r>
          </w:p>
        </w:tc>
        <w:tc>
          <w:tcPr>
            <w:tcW w:w="3690" w:type="dxa"/>
          </w:tcPr>
          <w:p w14:paraId="000000A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selected version is stored on the line.</w:t>
            </w:r>
          </w:p>
        </w:tc>
      </w:tr>
      <w:tr w:rsidR="002738E0" w14:paraId="4D95C179" w14:textId="77777777" w:rsidTr="54A12F5A">
        <w:trPr>
          <w:cantSplit/>
        </w:trPr>
        <w:tc>
          <w:tcPr>
            <w:tcW w:w="1080" w:type="dxa"/>
          </w:tcPr>
          <w:p w14:paraId="000000A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CLR-034</w:t>
            </w:r>
          </w:p>
        </w:tc>
        <w:tc>
          <w:tcPr>
            <w:tcW w:w="4830" w:type="dxa"/>
          </w:tcPr>
          <w:p w14:paraId="000000A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register shows no price to the agent for rental lines unless the role allows it; daily rate is visible only where today's screen shows it.</w:t>
            </w:r>
          </w:p>
        </w:tc>
        <w:tc>
          <w:tcPr>
            <w:tcW w:w="3690" w:type="dxa"/>
          </w:tcPr>
          <w:p w14:paraId="000000A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Price visibility follows the role and is confirmed with USME (question 5).</w:t>
            </w:r>
          </w:p>
        </w:tc>
      </w:tr>
      <w:tr w:rsidR="002738E0" w14:paraId="1EFA1357" w14:textId="77777777" w:rsidTr="54A12F5A">
        <w:trPr>
          <w:cantSplit/>
        </w:trPr>
        <w:tc>
          <w:tcPr>
            <w:tcW w:w="1080" w:type="dxa"/>
          </w:tcPr>
          <w:p w14:paraId="000000A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CLR-035</w:t>
            </w:r>
          </w:p>
        </w:tc>
        <w:tc>
          <w:tcPr>
            <w:tcW w:w="4830" w:type="dxa"/>
          </w:tcPr>
          <w:p w14:paraId="000000B0"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At order entry the agent sees whether the item is available at the fulfilling branch by the delivery date. Today there is no inventory visibility.</w:t>
            </w:r>
          </w:p>
        </w:tc>
        <w:tc>
          <w:tcPr>
            <w:tcW w:w="3690" w:type="dxa"/>
          </w:tcPr>
          <w:p w14:paraId="000000B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Availability indicator from Ascent inventory; if unknown, says so [Validate].</w:t>
            </w:r>
          </w:p>
        </w:tc>
      </w:tr>
      <w:tr w:rsidR="002738E0" w14:paraId="4550D9EC" w14:textId="77777777" w:rsidTr="54A12F5A">
        <w:trPr>
          <w:cantSplit/>
        </w:trPr>
        <w:tc>
          <w:tcPr>
            <w:tcW w:w="1080" w:type="dxa"/>
          </w:tcPr>
          <w:p w14:paraId="000000B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CLR-036</w:t>
            </w:r>
          </w:p>
        </w:tc>
        <w:tc>
          <w:tcPr>
            <w:tcW w:w="4830" w:type="dxa"/>
          </w:tcPr>
          <w:p w14:paraId="000000B3"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Quantity and a note are captured per line. Free-text notes may still hold extra instructions but do not replace structured lines or accessories.</w:t>
            </w:r>
          </w:p>
        </w:tc>
        <w:tc>
          <w:tcPr>
            <w:tcW w:w="3690" w:type="dxa"/>
          </w:tcPr>
          <w:p w14:paraId="000000B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Line list matches what the branch will deliver.</w:t>
            </w:r>
          </w:p>
        </w:tc>
      </w:tr>
    </w:tbl>
    <w:p w14:paraId="000000B5" w14:textId="77777777" w:rsidR="002738E0" w:rsidRDefault="00356CE0">
      <w:pPr>
        <w:pStyle w:val="Heading3"/>
        <w:keepLines w:val="0"/>
        <w:spacing w:before="240" w:line="259" w:lineRule="auto"/>
        <w:rPr>
          <w:rFonts w:ascii="Calibri" w:eastAsia="Calibri" w:hAnsi="Calibri" w:cs="Calibri"/>
          <w:b/>
          <w:bCs/>
          <w:color w:val="000000"/>
          <w:sz w:val="24"/>
          <w:szCs w:val="24"/>
        </w:rPr>
      </w:pPr>
      <w:bookmarkStart w:id="9" w:name="_mlbo1ch6pqy2" w:colFirst="0" w:colLast="0"/>
      <w:bookmarkEnd w:id="9"/>
      <w:r>
        <w:rPr>
          <w:rFonts w:ascii="Calibri" w:eastAsia="Calibri" w:hAnsi="Calibri" w:cs="Calibri"/>
          <w:b/>
          <w:bCs/>
          <w:color w:val="000000"/>
          <w:sz w:val="24"/>
          <w:szCs w:val="24"/>
        </w:rPr>
        <w:t>E. Delivery and pickup details</w:t>
      </w:r>
    </w:p>
    <w:tbl>
      <w:tblPr>
        <w:tblStyle w:val="a8"/>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71D8A190" w14:textId="77777777" w:rsidTr="54A12F5A">
        <w:trPr>
          <w:tblHeader/>
        </w:trPr>
        <w:tc>
          <w:tcPr>
            <w:tcW w:w="1080" w:type="dxa"/>
            <w:shd w:val="clear" w:color="auto" w:fill="F2F2F2" w:themeFill="background1" w:themeFillShade="F2"/>
          </w:tcPr>
          <w:p w14:paraId="000000B6"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000000B7"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75" w:type="dxa"/>
            <w:shd w:val="clear" w:color="auto" w:fill="F2F2F2" w:themeFill="background1" w:themeFillShade="F2"/>
          </w:tcPr>
          <w:p w14:paraId="000000B8"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187EFD5A" w14:textId="77777777" w:rsidTr="54A12F5A">
        <w:trPr>
          <w:cantSplit/>
        </w:trPr>
        <w:tc>
          <w:tcPr>
            <w:tcW w:w="1080" w:type="dxa"/>
          </w:tcPr>
          <w:p w14:paraId="000000B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CLR-040</w:t>
            </w:r>
          </w:p>
        </w:tc>
        <w:tc>
          <w:tcPr>
            <w:tcW w:w="4830" w:type="dxa"/>
          </w:tcPr>
          <w:p w14:paraId="000000BA"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Delivery defaults to ASAP. A future date is allowed from the next business day. Dates are used for future delivery or future pickup only, and past dates are rejected.</w:t>
            </w:r>
          </w:p>
        </w:tc>
        <w:tc>
          <w:tcPr>
            <w:tcW w:w="3675" w:type="dxa"/>
          </w:tcPr>
          <w:p w14:paraId="000000B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Date earlier than next business day is rejected; ASAP stores the request time.</w:t>
            </w:r>
          </w:p>
        </w:tc>
      </w:tr>
      <w:tr w:rsidR="002738E0" w14:paraId="6C57D1A9" w14:textId="77777777" w:rsidTr="54A12F5A">
        <w:trPr>
          <w:cantSplit/>
        </w:trPr>
        <w:tc>
          <w:tcPr>
            <w:tcW w:w="1080" w:type="dxa"/>
          </w:tcPr>
          <w:p w14:paraId="000000B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CLR-041</w:t>
            </w:r>
          </w:p>
        </w:tc>
        <w:tc>
          <w:tcPr>
            <w:tcW w:w="4830" w:type="dxa"/>
          </w:tcPr>
          <w:p w14:paraId="000000BD"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Delivery location (unit, room, department, contact) is captured. The delivery address comes from the account's stored addresses; an account normally has one.</w:t>
            </w:r>
          </w:p>
        </w:tc>
        <w:tc>
          <w:tcPr>
            <w:tcW w:w="3675" w:type="dxa"/>
          </w:tcPr>
          <w:p w14:paraId="000000B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Address cannot be free text.</w:t>
            </w:r>
          </w:p>
        </w:tc>
      </w:tr>
      <w:tr w:rsidR="002738E0" w14:paraId="160FD9BC" w14:textId="77777777" w:rsidTr="54A12F5A">
        <w:trPr>
          <w:cantSplit/>
        </w:trPr>
        <w:tc>
          <w:tcPr>
            <w:tcW w:w="1080" w:type="dxa"/>
          </w:tcPr>
          <w:p w14:paraId="000000B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CLR-042</w:t>
            </w:r>
          </w:p>
        </w:tc>
        <w:tc>
          <w:tcPr>
            <w:tcW w:w="4830" w:type="dxa"/>
          </w:tcPr>
          <w:p w14:paraId="000000C0"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A pickup request lists the account's current rentals so the agent picks the items to collect. If an item is not in current </w:t>
            </w:r>
            <w:proofErr w:type="gramStart"/>
            <w:r w:rsidRPr="54A12F5A">
              <w:rPr>
                <w:rFonts w:ascii="Calibri" w:eastAsia="Calibri" w:hAnsi="Calibri" w:cs="Calibri"/>
                <w:sz w:val="20"/>
                <w:szCs w:val="20"/>
                <w:lang w:val="en-US"/>
              </w:rPr>
              <w:t>rentals</w:t>
            </w:r>
            <w:proofErr w:type="gramEnd"/>
            <w:r w:rsidRPr="54A12F5A">
              <w:rPr>
                <w:rFonts w:ascii="Calibri" w:eastAsia="Calibri" w:hAnsi="Calibri" w:cs="Calibri"/>
                <w:sz w:val="20"/>
                <w:szCs w:val="20"/>
                <w:lang w:val="en-US"/>
              </w:rPr>
              <w:t xml:space="preserve"> it cannot be picked up. At </w:t>
            </w:r>
            <w:proofErr w:type="spellStart"/>
            <w:r w:rsidRPr="54A12F5A">
              <w:rPr>
                <w:rFonts w:ascii="Calibri" w:eastAsia="Calibri" w:hAnsi="Calibri" w:cs="Calibri"/>
                <w:sz w:val="20"/>
                <w:szCs w:val="20"/>
                <w:lang w:val="en-US"/>
              </w:rPr>
              <w:t>pickup</w:t>
            </w:r>
            <w:proofErr w:type="spellEnd"/>
            <w:r w:rsidRPr="54A12F5A">
              <w:rPr>
                <w:rFonts w:ascii="Calibri" w:eastAsia="Calibri" w:hAnsi="Calibri" w:cs="Calibri"/>
                <w:sz w:val="20"/>
                <w:szCs w:val="20"/>
                <w:lang w:val="en-US"/>
              </w:rPr>
              <w:t xml:space="preserve"> the system shows the last recorded room or unit and the agent reconfirms it verbally.</w:t>
            </w:r>
          </w:p>
        </w:tc>
        <w:tc>
          <w:tcPr>
            <w:tcW w:w="3675" w:type="dxa"/>
          </w:tcPr>
          <w:p w14:paraId="000000C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 pickup can be created for equipment not on rent at the account.</w:t>
            </w:r>
          </w:p>
        </w:tc>
      </w:tr>
      <w:tr w:rsidR="002738E0" w14:paraId="5C454C01" w14:textId="77777777" w:rsidTr="54A12F5A">
        <w:trPr>
          <w:cantSplit/>
        </w:trPr>
        <w:tc>
          <w:tcPr>
            <w:tcW w:w="1080" w:type="dxa"/>
          </w:tcPr>
          <w:p w14:paraId="000000C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CLR-043</w:t>
            </w:r>
          </w:p>
        </w:tc>
        <w:tc>
          <w:tcPr>
            <w:tcW w:w="4830" w:type="dxa"/>
          </w:tcPr>
          <w:p w14:paraId="000000C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Duplicate prevention: an item already called off by any channel cannot be called off again. The message names the existing request.</w:t>
            </w:r>
          </w:p>
        </w:tc>
        <w:tc>
          <w:tcPr>
            <w:tcW w:w="3675" w:type="dxa"/>
          </w:tcPr>
          <w:p w14:paraId="000000C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Phone and portal requests for the same item produce one pickup (PRT-502).</w:t>
            </w:r>
          </w:p>
        </w:tc>
      </w:tr>
      <w:tr w:rsidR="002738E0" w14:paraId="0144DC4D" w14:textId="77777777" w:rsidTr="54A12F5A">
        <w:trPr>
          <w:cantSplit/>
        </w:trPr>
        <w:tc>
          <w:tcPr>
            <w:tcW w:w="1080" w:type="dxa"/>
          </w:tcPr>
          <w:p w14:paraId="000000C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CLR-044</w:t>
            </w:r>
          </w:p>
        </w:tc>
        <w:tc>
          <w:tcPr>
            <w:tcW w:w="4830" w:type="dxa"/>
          </w:tcPr>
          <w:p w14:paraId="000000C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pickup carries a reason (for example Usage Completed, PM Due), a rental stop date and a pickup date and time. The reason list is managed by USME.</w:t>
            </w:r>
          </w:p>
        </w:tc>
        <w:tc>
          <w:tcPr>
            <w:tcW w:w="3675" w:type="dxa"/>
          </w:tcPr>
          <w:p w14:paraId="000000C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Billing end uses the rule in CLR-062 [Validate].</w:t>
            </w:r>
          </w:p>
        </w:tc>
      </w:tr>
      <w:tr w:rsidR="002738E0" w14:paraId="4B0CBE98" w14:textId="77777777" w:rsidTr="54A12F5A">
        <w:trPr>
          <w:cantSplit/>
        </w:trPr>
        <w:tc>
          <w:tcPr>
            <w:tcW w:w="1080" w:type="dxa"/>
          </w:tcPr>
          <w:p w14:paraId="000000C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CLR-045</w:t>
            </w:r>
          </w:p>
        </w:tc>
        <w:tc>
          <w:tcPr>
            <w:tcW w:w="4830" w:type="dxa"/>
          </w:tcPr>
          <w:p w14:paraId="000000C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Delivery and handling instructions are free text (for example deliver to a floor or a different entry).</w:t>
            </w:r>
          </w:p>
        </w:tc>
        <w:tc>
          <w:tcPr>
            <w:tcW w:w="3675" w:type="dxa"/>
          </w:tcPr>
          <w:p w14:paraId="000000C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Instructions appear on the branch and mobile views.</w:t>
            </w:r>
          </w:p>
        </w:tc>
      </w:tr>
    </w:tbl>
    <w:p w14:paraId="000000CB"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0" w:name="_vkkdnoqr0cj2"/>
      <w:bookmarkEnd w:id="10"/>
      <w:r w:rsidRPr="54A12F5A">
        <w:rPr>
          <w:rFonts w:ascii="Calibri" w:eastAsia="Calibri" w:hAnsi="Calibri" w:cs="Calibri"/>
          <w:b/>
          <w:bCs/>
          <w:color w:val="000000" w:themeColor="text1"/>
          <w:sz w:val="24"/>
          <w:szCs w:val="24"/>
          <w:lang w:val="en-US"/>
        </w:rPr>
        <w:t>F. Branch routing, assignment and alerts</w:t>
      </w:r>
    </w:p>
    <w:tbl>
      <w:tblPr>
        <w:tblStyle w:val="a9"/>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60"/>
      </w:tblGrid>
      <w:tr w:rsidR="002738E0" w14:paraId="0A75BA34" w14:textId="77777777" w:rsidTr="54A12F5A">
        <w:trPr>
          <w:tblHeader/>
        </w:trPr>
        <w:tc>
          <w:tcPr>
            <w:tcW w:w="1080" w:type="dxa"/>
            <w:shd w:val="clear" w:color="auto" w:fill="F2F2F2" w:themeFill="background1" w:themeFillShade="F2"/>
          </w:tcPr>
          <w:p w14:paraId="000000CC"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000000CD"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60" w:type="dxa"/>
            <w:shd w:val="clear" w:color="auto" w:fill="F2F2F2" w:themeFill="background1" w:themeFillShade="F2"/>
          </w:tcPr>
          <w:p w14:paraId="000000CE"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707C0D2B" w14:textId="77777777" w:rsidTr="54A12F5A">
        <w:trPr>
          <w:cantSplit/>
        </w:trPr>
        <w:tc>
          <w:tcPr>
            <w:tcW w:w="1080" w:type="dxa"/>
          </w:tcPr>
          <w:p w14:paraId="000000C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CLR-050</w:t>
            </w:r>
          </w:p>
        </w:tc>
        <w:tc>
          <w:tcPr>
            <w:tcW w:w="4830" w:type="dxa"/>
          </w:tcPr>
          <w:p w14:paraId="000000D0"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fulfilling branch is derived from the account's service area and delivery address, not chosen by the agent. Service area on the account is maintained under a governed process, with a report for accounts whose branch is disputed.</w:t>
            </w:r>
          </w:p>
        </w:tc>
        <w:tc>
          <w:tcPr>
            <w:tcW w:w="3660" w:type="dxa"/>
          </w:tcPr>
          <w:p w14:paraId="000000D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Branch shows read-only on the request; changing the service area is audited.</w:t>
            </w:r>
          </w:p>
        </w:tc>
      </w:tr>
      <w:tr w:rsidR="002738E0" w14:paraId="181EC144" w14:textId="77777777" w:rsidTr="54A12F5A">
        <w:trPr>
          <w:cantSplit/>
        </w:trPr>
        <w:tc>
          <w:tcPr>
            <w:tcW w:w="1080" w:type="dxa"/>
          </w:tcPr>
          <w:p w14:paraId="000000D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CLR-051</w:t>
            </w:r>
          </w:p>
        </w:tc>
        <w:tc>
          <w:tcPr>
            <w:tcW w:w="4830" w:type="dxa"/>
          </w:tcPr>
          <w:p w14:paraId="000000D3"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Saving sends an email to the caller (valid email only) and to the branch distribution list. In the daytime the branch also gets a text. After hours, the agent can see who is on call and escalate by phone.</w:t>
            </w:r>
          </w:p>
        </w:tc>
        <w:tc>
          <w:tcPr>
            <w:tcW w:w="3660" w:type="dxa"/>
          </w:tcPr>
          <w:p w14:paraId="000000D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Notification log records recipients, channel and time.</w:t>
            </w:r>
          </w:p>
        </w:tc>
      </w:tr>
      <w:tr w:rsidR="002738E0" w14:paraId="67C9420E" w14:textId="77777777" w:rsidTr="54A12F5A">
        <w:trPr>
          <w:cantSplit/>
        </w:trPr>
        <w:tc>
          <w:tcPr>
            <w:tcW w:w="1080" w:type="dxa"/>
          </w:tcPr>
          <w:p w14:paraId="000000D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CLR-052</w:t>
            </w:r>
          </w:p>
        </w:tc>
        <w:tc>
          <w:tcPr>
            <w:tcW w:w="4830" w:type="dxa"/>
          </w:tcPr>
          <w:p w14:paraId="000000D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agent can add a note for the branch (for example to a named person).</w:t>
            </w:r>
          </w:p>
        </w:tc>
        <w:tc>
          <w:tcPr>
            <w:tcW w:w="3660" w:type="dxa"/>
          </w:tcPr>
          <w:p w14:paraId="000000D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Note is visible to the branch with the request.</w:t>
            </w:r>
          </w:p>
        </w:tc>
      </w:tr>
      <w:tr w:rsidR="002738E0" w14:paraId="498E124D" w14:textId="77777777" w:rsidTr="54A12F5A">
        <w:trPr>
          <w:cantSplit/>
        </w:trPr>
        <w:tc>
          <w:tcPr>
            <w:tcW w:w="1080" w:type="dxa"/>
          </w:tcPr>
          <w:p w14:paraId="000000D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CLR-053</w:t>
            </w:r>
          </w:p>
        </w:tc>
        <w:tc>
          <w:tcPr>
            <w:tcW w:w="4830" w:type="dxa"/>
          </w:tcPr>
          <w:p w14:paraId="000000D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Each branch sees only its own requests. Team leads and master users can see several branches. A branch user selects requests and assigns them to a CSR from that branch. The assigned CSR sees the request on the mobile device.</w:t>
            </w:r>
          </w:p>
        </w:tc>
        <w:tc>
          <w:tcPr>
            <w:tcW w:w="3660" w:type="dxa"/>
          </w:tcPr>
          <w:p w14:paraId="000000D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Visibility follows branch membership; assignment is audited.</w:t>
            </w:r>
          </w:p>
        </w:tc>
      </w:tr>
      <w:tr w:rsidR="002738E0" w14:paraId="1A881763" w14:textId="77777777" w:rsidTr="54A12F5A">
        <w:trPr>
          <w:cantSplit/>
        </w:trPr>
        <w:tc>
          <w:tcPr>
            <w:tcW w:w="1080" w:type="dxa"/>
          </w:tcPr>
          <w:p w14:paraId="000000D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CLR-054</w:t>
            </w:r>
          </w:p>
        </w:tc>
        <w:tc>
          <w:tcPr>
            <w:tcW w:w="4830" w:type="dxa"/>
          </w:tcPr>
          <w:p w14:paraId="000000D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register can later show a request to the branch before the delivery date so the branch can plan, without making it Active.</w:t>
            </w:r>
          </w:p>
        </w:tc>
        <w:tc>
          <w:tcPr>
            <w:tcW w:w="3660" w:type="dxa"/>
          </w:tcPr>
          <w:p w14:paraId="000000D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To be confirmed.</w:t>
            </w:r>
          </w:p>
        </w:tc>
      </w:tr>
    </w:tbl>
    <w:p w14:paraId="000000DE" w14:textId="77777777" w:rsidR="002738E0" w:rsidRDefault="00356CE0">
      <w:pPr>
        <w:pStyle w:val="Heading3"/>
        <w:keepLines w:val="0"/>
        <w:spacing w:before="240" w:line="259" w:lineRule="auto"/>
        <w:rPr>
          <w:rFonts w:ascii="Calibri" w:eastAsia="Calibri" w:hAnsi="Calibri" w:cs="Calibri"/>
          <w:b/>
          <w:bCs/>
          <w:color w:val="000000"/>
          <w:sz w:val="24"/>
          <w:szCs w:val="24"/>
        </w:rPr>
      </w:pPr>
      <w:bookmarkStart w:id="11" w:name="_6i3v6z1l5983" w:colFirst="0" w:colLast="0"/>
      <w:bookmarkEnd w:id="11"/>
      <w:r>
        <w:rPr>
          <w:rFonts w:ascii="Calibri" w:eastAsia="Calibri" w:hAnsi="Calibri" w:cs="Calibri"/>
          <w:b/>
          <w:bCs/>
          <w:color w:val="000000"/>
          <w:sz w:val="24"/>
          <w:szCs w:val="24"/>
        </w:rPr>
        <w:t>G. Status and editing</w:t>
      </w:r>
    </w:p>
    <w:tbl>
      <w:tblPr>
        <w:tblStyle w:val="aa"/>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3A82D205" w14:textId="77777777" w:rsidTr="54A12F5A">
        <w:trPr>
          <w:tblHeader/>
        </w:trPr>
        <w:tc>
          <w:tcPr>
            <w:tcW w:w="1080" w:type="dxa"/>
            <w:shd w:val="clear" w:color="auto" w:fill="F2F2F2" w:themeFill="background1" w:themeFillShade="F2"/>
          </w:tcPr>
          <w:p w14:paraId="000000DF"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000000E0"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75" w:type="dxa"/>
            <w:shd w:val="clear" w:color="auto" w:fill="F2F2F2" w:themeFill="background1" w:themeFillShade="F2"/>
          </w:tcPr>
          <w:p w14:paraId="000000E1"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7D272CF2" w14:textId="77777777" w:rsidTr="54A12F5A">
        <w:trPr>
          <w:cantSplit/>
        </w:trPr>
        <w:tc>
          <w:tcPr>
            <w:tcW w:w="1080" w:type="dxa"/>
          </w:tcPr>
          <w:p w14:paraId="000000E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CLR-060</w:t>
            </w:r>
          </w:p>
        </w:tc>
        <w:tc>
          <w:tcPr>
            <w:tcW w:w="4830" w:type="dxa"/>
          </w:tcPr>
          <w:p w14:paraId="000000E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Statuses: Pending (Pending Branch Confirmation), Active, Delivered or Completed, Canceled. Deliveries start Pending; pickups start Active. The customer sees the legacy status names (see PRT-301 and open question 16 in the Customer Portal FRD).</w:t>
            </w:r>
          </w:p>
        </w:tc>
        <w:tc>
          <w:tcPr>
            <w:tcW w:w="3675" w:type="dxa"/>
          </w:tcPr>
          <w:p w14:paraId="000000E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Status history is kept with user and time.</w:t>
            </w:r>
          </w:p>
        </w:tc>
      </w:tr>
      <w:tr w:rsidR="002738E0" w14:paraId="23D255DA" w14:textId="77777777" w:rsidTr="54A12F5A">
        <w:trPr>
          <w:cantSplit/>
        </w:trPr>
        <w:tc>
          <w:tcPr>
            <w:tcW w:w="1080" w:type="dxa"/>
          </w:tcPr>
          <w:p w14:paraId="000000E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CLR-061</w:t>
            </w:r>
          </w:p>
        </w:tc>
        <w:tc>
          <w:tcPr>
            <w:tcW w:w="4830" w:type="dxa"/>
          </w:tcPr>
          <w:p w14:paraId="000000E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In Pending, the CEC and the branch can edit the request. In Active, lines cannot be added, but quantity can change, lines can be cancelled and a model can be substituted. Cancelling after Active needs a reason.</w:t>
            </w:r>
          </w:p>
        </w:tc>
        <w:tc>
          <w:tcPr>
            <w:tcW w:w="3675" w:type="dxa"/>
          </w:tcPr>
          <w:p w14:paraId="000000E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Add line is disabled in Active.</w:t>
            </w:r>
          </w:p>
        </w:tc>
      </w:tr>
      <w:tr w:rsidR="002738E0" w14:paraId="4B10212C" w14:textId="77777777" w:rsidTr="54A12F5A">
        <w:trPr>
          <w:cantSplit/>
        </w:trPr>
        <w:tc>
          <w:tcPr>
            <w:tcW w:w="1080" w:type="dxa"/>
          </w:tcPr>
          <w:p w14:paraId="000000E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CLR-062</w:t>
            </w:r>
          </w:p>
        </w:tc>
        <w:tc>
          <w:tcPr>
            <w:tcW w:w="4830" w:type="dxa"/>
          </w:tcPr>
          <w:p w14:paraId="000000E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Billing start is stamped when a delivery is completed; billing end is stamped when a pickup is logged (not when collected). Before the event the fields show as expected. Neither is typed by the agent.</w:t>
            </w:r>
          </w:p>
        </w:tc>
        <w:tc>
          <w:tcPr>
            <w:tcW w:w="3675" w:type="dxa"/>
          </w:tcPr>
          <w:p w14:paraId="000000E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Stamps are sent to GT as separate start and stop events.</w:t>
            </w:r>
          </w:p>
        </w:tc>
      </w:tr>
      <w:tr w:rsidR="002738E0" w14:paraId="0D7E1B63" w14:textId="77777777" w:rsidTr="54A12F5A">
        <w:trPr>
          <w:cantSplit/>
        </w:trPr>
        <w:tc>
          <w:tcPr>
            <w:tcW w:w="1080" w:type="dxa"/>
          </w:tcPr>
          <w:p w14:paraId="000000E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CLR-063</w:t>
            </w:r>
          </w:p>
        </w:tc>
        <w:tc>
          <w:tcPr>
            <w:tcW w:w="4830" w:type="dxa"/>
          </w:tcPr>
          <w:p w14:paraId="000000E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Completion happens only when the branch confirms delivery (phone or system) or the warehouse scans pickup equipment back in. On completion, order lines and billing are created; before that the order lines are empty.</w:t>
            </w:r>
          </w:p>
        </w:tc>
        <w:tc>
          <w:tcPr>
            <w:tcW w:w="3675" w:type="dxa"/>
          </w:tcPr>
          <w:p w14:paraId="000000E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No billing event exists for a Pending request.</w:t>
            </w:r>
          </w:p>
        </w:tc>
      </w:tr>
      <w:tr w:rsidR="002738E0" w14:paraId="1434E3AD" w14:textId="77777777" w:rsidTr="54A12F5A">
        <w:trPr>
          <w:cantSplit/>
        </w:trPr>
        <w:tc>
          <w:tcPr>
            <w:tcW w:w="1080" w:type="dxa"/>
          </w:tcPr>
          <w:p w14:paraId="000000E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CLR-064</w:t>
            </w:r>
          </w:p>
        </w:tc>
        <w:tc>
          <w:tcPr>
            <w:tcW w:w="4830" w:type="dxa"/>
          </w:tcPr>
          <w:p w14:paraId="000000E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After completion the branch reconciles in a second step. Whether delivery and pickup reconcile separately is open (question 11).</w:t>
            </w:r>
          </w:p>
        </w:tc>
        <w:tc>
          <w:tcPr>
            <w:tcW w:w="3675" w:type="dxa"/>
          </w:tcPr>
          <w:p w14:paraId="000000F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Reconciliation status is visible to Billing.</w:t>
            </w:r>
          </w:p>
        </w:tc>
      </w:tr>
    </w:tbl>
    <w:p w14:paraId="000000F1"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2" w:name="_rexwhfjq0tg9"/>
      <w:bookmarkEnd w:id="12"/>
      <w:r w:rsidRPr="54A12F5A">
        <w:rPr>
          <w:rFonts w:ascii="Calibri" w:eastAsia="Calibri" w:hAnsi="Calibri" w:cs="Calibri"/>
          <w:b/>
          <w:bCs/>
          <w:color w:val="000000" w:themeColor="text1"/>
          <w:sz w:val="24"/>
          <w:szCs w:val="24"/>
          <w:lang w:val="en-US"/>
        </w:rPr>
        <w:t>H. Substitution, swap and exchange</w:t>
      </w:r>
    </w:p>
    <w:tbl>
      <w:tblPr>
        <w:tblStyle w:val="ab"/>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60"/>
      </w:tblGrid>
      <w:tr w:rsidR="002738E0" w14:paraId="10BDC4F1" w14:textId="77777777" w:rsidTr="54A12F5A">
        <w:trPr>
          <w:tblHeader/>
        </w:trPr>
        <w:tc>
          <w:tcPr>
            <w:tcW w:w="1080" w:type="dxa"/>
            <w:shd w:val="clear" w:color="auto" w:fill="F2F2F2" w:themeFill="background1" w:themeFillShade="F2"/>
          </w:tcPr>
          <w:p w14:paraId="000000F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000000F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60" w:type="dxa"/>
            <w:shd w:val="clear" w:color="auto" w:fill="F2F2F2" w:themeFill="background1" w:themeFillShade="F2"/>
          </w:tcPr>
          <w:p w14:paraId="000000F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5B4979BB" w14:textId="77777777" w:rsidTr="54A12F5A">
        <w:trPr>
          <w:cantSplit/>
        </w:trPr>
        <w:tc>
          <w:tcPr>
            <w:tcW w:w="1080" w:type="dxa"/>
          </w:tcPr>
          <w:p w14:paraId="000000F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CLR-070</w:t>
            </w:r>
          </w:p>
        </w:tc>
        <w:tc>
          <w:tcPr>
            <w:tcW w:w="4830" w:type="dxa"/>
          </w:tcPr>
          <w:p w14:paraId="000000F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Substitution lists compatible models for the line, asks for quantity and a reason, cancels the original line, adds the substitute and keeps both for audit. Billing uses the original contract price when USME forces the change.</w:t>
            </w:r>
          </w:p>
        </w:tc>
        <w:tc>
          <w:tcPr>
            <w:tcW w:w="3660" w:type="dxa"/>
          </w:tcPr>
          <w:p w14:paraId="000000F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Original line shows Substitution and stays on the request.</w:t>
            </w:r>
          </w:p>
        </w:tc>
      </w:tr>
      <w:tr w:rsidR="002738E0" w14:paraId="6204C3C9" w14:textId="77777777" w:rsidTr="54A12F5A">
        <w:trPr>
          <w:cantSplit/>
        </w:trPr>
        <w:tc>
          <w:tcPr>
            <w:tcW w:w="1080" w:type="dxa"/>
          </w:tcPr>
          <w:p w14:paraId="000000F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CLR-071</w:t>
            </w:r>
          </w:p>
        </w:tc>
        <w:tc>
          <w:tcPr>
            <w:tcW w:w="4830" w:type="dxa"/>
          </w:tcPr>
          <w:p w14:paraId="000000F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Substitution is controlled by rules at model level and account or contract level (preferred models, accessories, and models a customer will not accept). Some contracts, such as government or VA accounts, forbid substitution. The rule set is maintainable as terms change.</w:t>
            </w:r>
          </w:p>
        </w:tc>
        <w:tc>
          <w:tcPr>
            <w:tcW w:w="3660" w:type="dxa"/>
          </w:tcPr>
          <w:p w14:paraId="000000F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An ineligible substitution is blocked or needs an approved override.</w:t>
            </w:r>
          </w:p>
        </w:tc>
      </w:tr>
      <w:tr w:rsidR="002738E0" w14:paraId="12671CF7" w14:textId="77777777" w:rsidTr="54A12F5A">
        <w:trPr>
          <w:cantSplit/>
        </w:trPr>
        <w:tc>
          <w:tcPr>
            <w:tcW w:w="1080" w:type="dxa"/>
          </w:tcPr>
          <w:p w14:paraId="000000F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CLR-072</w:t>
            </w:r>
          </w:p>
        </w:tc>
        <w:tc>
          <w:tcPr>
            <w:tcW w:w="4830" w:type="dxa"/>
          </w:tcPr>
          <w:p w14:paraId="000000F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swap creates one linked delivery and one linked pickup for the same model, with a reason such as PM Due and no price change. Both show as a pair in every list and the pair shows both completion times. Delivery cannot be completed until the paired pickup is done.</w:t>
            </w:r>
          </w:p>
        </w:tc>
        <w:tc>
          <w:tcPr>
            <w:tcW w:w="3660" w:type="dxa"/>
          </w:tcPr>
          <w:p w14:paraId="000000FD"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pair indicator is visible in list views, not only inside the record.</w:t>
            </w:r>
          </w:p>
        </w:tc>
      </w:tr>
      <w:tr w:rsidR="002738E0" w14:paraId="4A7AA5DD" w14:textId="77777777" w:rsidTr="54A12F5A">
        <w:trPr>
          <w:cantSplit/>
        </w:trPr>
        <w:tc>
          <w:tcPr>
            <w:tcW w:w="1080" w:type="dxa"/>
          </w:tcPr>
          <w:p w14:paraId="000000F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CLR-073</w:t>
            </w:r>
          </w:p>
        </w:tc>
        <w:tc>
          <w:tcPr>
            <w:tcW w:w="4830" w:type="dxa"/>
          </w:tcPr>
          <w:p w14:paraId="000000F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swap can substitute a different model when the same model is not available, without cancelling and redoing it.</w:t>
            </w:r>
          </w:p>
        </w:tc>
        <w:tc>
          <w:tcPr>
            <w:tcW w:w="3660" w:type="dxa"/>
          </w:tcPr>
          <w:p w14:paraId="0000010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Legacy limitation removed [Validate].</w:t>
            </w:r>
          </w:p>
        </w:tc>
      </w:tr>
      <w:tr w:rsidR="002738E0" w14:paraId="2E1CCFA8" w14:textId="77777777" w:rsidTr="54A12F5A">
        <w:trPr>
          <w:cantSplit/>
        </w:trPr>
        <w:tc>
          <w:tcPr>
            <w:tcW w:w="1080" w:type="dxa"/>
          </w:tcPr>
          <w:p w14:paraId="0000010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CLR-074</w:t>
            </w:r>
          </w:p>
        </w:tc>
        <w:tc>
          <w:tcPr>
            <w:tcW w:w="4830" w:type="dxa"/>
          </w:tcPr>
          <w:p w14:paraId="0000010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Packages can be substituted line by line or replaced by another package without cancelling the request, with the price rule for packages confirmed by USME.</w:t>
            </w:r>
          </w:p>
        </w:tc>
        <w:tc>
          <w:tcPr>
            <w:tcW w:w="3660" w:type="dxa"/>
          </w:tcPr>
          <w:p w14:paraId="0000010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Wrong packages can be corrected in Pending or Active (question 6).</w:t>
            </w:r>
          </w:p>
        </w:tc>
      </w:tr>
      <w:tr w:rsidR="002738E0" w14:paraId="3BF6BB7C" w14:textId="77777777" w:rsidTr="54A12F5A">
        <w:trPr>
          <w:cantSplit/>
        </w:trPr>
        <w:tc>
          <w:tcPr>
            <w:tcW w:w="1080" w:type="dxa"/>
          </w:tcPr>
          <w:p w14:paraId="0000010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CLR-075</w:t>
            </w:r>
          </w:p>
        </w:tc>
        <w:tc>
          <w:tcPr>
            <w:tcW w:w="4830" w:type="dxa"/>
          </w:tcPr>
          <w:p w14:paraId="0000010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An exchange (a different model chosen by the customer) creates two unlinked actions and prices the difference to the customer. The branch is alerted.</w:t>
            </w:r>
          </w:p>
        </w:tc>
        <w:tc>
          <w:tcPr>
            <w:tcW w:w="3660" w:type="dxa"/>
          </w:tcPr>
          <w:p w14:paraId="0000010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Price difference is reported to Billing.</w:t>
            </w:r>
          </w:p>
        </w:tc>
      </w:tr>
    </w:tbl>
    <w:p w14:paraId="00000107"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3" w:name="_5xg7gcebsngl"/>
      <w:bookmarkEnd w:id="13"/>
      <w:r w:rsidRPr="54A12F5A">
        <w:rPr>
          <w:rFonts w:ascii="Calibri" w:eastAsia="Calibri" w:hAnsi="Calibri" w:cs="Calibri"/>
          <w:b/>
          <w:bCs/>
          <w:color w:val="000000" w:themeColor="text1"/>
          <w:sz w:val="24"/>
          <w:szCs w:val="24"/>
          <w:lang w:val="en-US"/>
        </w:rPr>
        <w:lastRenderedPageBreak/>
        <w:t>I. Stand by, demo, consignment and unit transfer</w:t>
      </w:r>
    </w:p>
    <w:tbl>
      <w:tblPr>
        <w:tblStyle w:val="ac"/>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60B6C3A1" w14:textId="77777777" w:rsidTr="54A12F5A">
        <w:trPr>
          <w:tblHeader/>
        </w:trPr>
        <w:tc>
          <w:tcPr>
            <w:tcW w:w="1080" w:type="dxa"/>
            <w:shd w:val="clear" w:color="auto" w:fill="F2F2F2" w:themeFill="background1" w:themeFillShade="F2"/>
          </w:tcPr>
          <w:p w14:paraId="0000010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0000010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75" w:type="dxa"/>
            <w:shd w:val="clear" w:color="auto" w:fill="F2F2F2" w:themeFill="background1" w:themeFillShade="F2"/>
          </w:tcPr>
          <w:p w14:paraId="0000010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055DA8A5" w14:textId="77777777" w:rsidTr="54A12F5A">
        <w:trPr>
          <w:cantSplit/>
        </w:trPr>
        <w:tc>
          <w:tcPr>
            <w:tcW w:w="1080" w:type="dxa"/>
          </w:tcPr>
          <w:p w14:paraId="0000010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CLR-080</w:t>
            </w:r>
          </w:p>
        </w:tc>
        <w:tc>
          <w:tcPr>
            <w:tcW w:w="4830" w:type="dxa"/>
          </w:tcPr>
          <w:p w14:paraId="0000010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stand by request delivers equipment with no charge and without starting a rental. The stand by flag is set by the system when the request type is Stand by or the account is a stand by account; it is not a manual checkbox that can be forgotten.</w:t>
            </w:r>
          </w:p>
        </w:tc>
        <w:tc>
          <w:tcPr>
            <w:tcW w:w="3675" w:type="dxa"/>
          </w:tcPr>
          <w:p w14:paraId="0000010D"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No billing start is created for </w:t>
            </w:r>
            <w:proofErr w:type="spellStart"/>
            <w:r w:rsidRPr="54A12F5A">
              <w:rPr>
                <w:rFonts w:ascii="Calibri" w:eastAsia="Calibri" w:hAnsi="Calibri" w:cs="Calibri"/>
                <w:sz w:val="20"/>
                <w:szCs w:val="20"/>
                <w:lang w:val="en-US"/>
              </w:rPr>
              <w:t>stand by</w:t>
            </w:r>
            <w:proofErr w:type="spellEnd"/>
            <w:r w:rsidRPr="54A12F5A">
              <w:rPr>
                <w:rFonts w:ascii="Calibri" w:eastAsia="Calibri" w:hAnsi="Calibri" w:cs="Calibri"/>
                <w:sz w:val="20"/>
                <w:szCs w:val="20"/>
                <w:lang w:val="en-US"/>
              </w:rPr>
              <w:t>.</w:t>
            </w:r>
          </w:p>
        </w:tc>
      </w:tr>
      <w:tr w:rsidR="002738E0" w14:paraId="5101E149" w14:textId="77777777" w:rsidTr="54A12F5A">
        <w:trPr>
          <w:cantSplit/>
        </w:trPr>
        <w:tc>
          <w:tcPr>
            <w:tcW w:w="1080" w:type="dxa"/>
          </w:tcPr>
          <w:p w14:paraId="0000010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CLR-081</w:t>
            </w:r>
          </w:p>
        </w:tc>
        <w:tc>
          <w:tcPr>
            <w:tcW w:w="4830" w:type="dxa"/>
          </w:tcPr>
          <w:p w14:paraId="0000010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demo / loaner request carries a start and end date, creates no charge, and is flagged so it is excluded from rental billing.</w:t>
            </w:r>
          </w:p>
        </w:tc>
        <w:tc>
          <w:tcPr>
            <w:tcW w:w="3675" w:type="dxa"/>
          </w:tcPr>
          <w:p w14:paraId="0000011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Demo lines never reach GT billing.</w:t>
            </w:r>
          </w:p>
        </w:tc>
      </w:tr>
      <w:tr w:rsidR="002738E0" w14:paraId="4B83438B" w14:textId="77777777" w:rsidTr="54A12F5A">
        <w:trPr>
          <w:cantSplit/>
        </w:trPr>
        <w:tc>
          <w:tcPr>
            <w:tcW w:w="1080" w:type="dxa"/>
          </w:tcPr>
          <w:p w14:paraId="0000011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CLR-082</w:t>
            </w:r>
          </w:p>
        </w:tc>
        <w:tc>
          <w:tcPr>
            <w:tcW w:w="4830" w:type="dxa"/>
          </w:tcPr>
          <w:p w14:paraId="0000011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Consignment can be enabled per item as well as per account. The hospital starts and stops billing on consignment items by request; the register stamps the effective date and time (see PRT-404, PRT-410).</w:t>
            </w:r>
          </w:p>
        </w:tc>
        <w:tc>
          <w:tcPr>
            <w:tcW w:w="3675" w:type="dxa"/>
          </w:tcPr>
          <w:p w14:paraId="0000011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Per-item consignment flag is available; start and stop are audited.</w:t>
            </w:r>
          </w:p>
        </w:tc>
      </w:tr>
      <w:tr w:rsidR="002738E0" w14:paraId="4D44E000" w14:textId="77777777" w:rsidTr="54A12F5A">
        <w:trPr>
          <w:cantSplit/>
        </w:trPr>
        <w:tc>
          <w:tcPr>
            <w:tcW w:w="1080" w:type="dxa"/>
          </w:tcPr>
          <w:p w14:paraId="0000011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CLR-083</w:t>
            </w:r>
          </w:p>
        </w:tc>
        <w:tc>
          <w:tcPr>
            <w:tcW w:w="4830" w:type="dxa"/>
          </w:tcPr>
          <w:p w14:paraId="00000115"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Unit transfer is a billing-only request that stops billing for the old unit on the transfer date and starts the new unit the next day, with no delivery or pickup task (see PRT-403).</w:t>
            </w:r>
          </w:p>
        </w:tc>
        <w:tc>
          <w:tcPr>
            <w:tcW w:w="3675" w:type="dxa"/>
          </w:tcPr>
          <w:p w14:paraId="0000011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Transfer history shows beside the unit field.</w:t>
            </w:r>
          </w:p>
        </w:tc>
      </w:tr>
    </w:tbl>
    <w:p w14:paraId="00000117"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4" w:name="_51lwueyjee9y"/>
      <w:bookmarkEnd w:id="14"/>
      <w:r w:rsidRPr="54A12F5A">
        <w:rPr>
          <w:rFonts w:ascii="Calibri" w:eastAsia="Calibri" w:hAnsi="Calibri" w:cs="Calibri"/>
          <w:b/>
          <w:bCs/>
          <w:color w:val="000000" w:themeColor="text1"/>
          <w:sz w:val="24"/>
          <w:szCs w:val="24"/>
          <w:lang w:val="en-US"/>
        </w:rPr>
        <w:t>J. KPI exclusion, incidents and audit</w:t>
      </w:r>
    </w:p>
    <w:tbl>
      <w:tblPr>
        <w:tblStyle w:val="ad"/>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4F815693" w14:textId="77777777" w:rsidTr="54A12F5A">
        <w:trPr>
          <w:tblHeader/>
        </w:trPr>
        <w:tc>
          <w:tcPr>
            <w:tcW w:w="1080" w:type="dxa"/>
            <w:shd w:val="clear" w:color="auto" w:fill="F2F2F2" w:themeFill="background1" w:themeFillShade="F2"/>
          </w:tcPr>
          <w:p w14:paraId="0000011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0000011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75" w:type="dxa"/>
            <w:shd w:val="clear" w:color="auto" w:fill="F2F2F2" w:themeFill="background1" w:themeFillShade="F2"/>
          </w:tcPr>
          <w:p w14:paraId="0000011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103929CE" w14:textId="77777777" w:rsidTr="54A12F5A">
        <w:trPr>
          <w:cantSplit/>
        </w:trPr>
        <w:tc>
          <w:tcPr>
            <w:tcW w:w="1080" w:type="dxa"/>
          </w:tcPr>
          <w:p w14:paraId="0000011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CLR-090</w:t>
            </w:r>
          </w:p>
        </w:tc>
        <w:tc>
          <w:tcPr>
            <w:tcW w:w="4830" w:type="dxa"/>
          </w:tcPr>
          <w:p w14:paraId="0000011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Exclude from KPI is available only to the regional operations manager role, only while the request is Pending, and requires a reason.</w:t>
            </w:r>
          </w:p>
        </w:tc>
        <w:tc>
          <w:tcPr>
            <w:tcW w:w="3675" w:type="dxa"/>
          </w:tcPr>
          <w:p w14:paraId="0000011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Other roles do not see the control; use is reported.</w:t>
            </w:r>
          </w:p>
        </w:tc>
      </w:tr>
      <w:tr w:rsidR="002738E0" w14:paraId="5E60A0D5" w14:textId="77777777" w:rsidTr="54A12F5A">
        <w:trPr>
          <w:cantSplit/>
        </w:trPr>
        <w:tc>
          <w:tcPr>
            <w:tcW w:w="1080" w:type="dxa"/>
          </w:tcPr>
          <w:p w14:paraId="0000011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CLR-091</w:t>
            </w:r>
          </w:p>
        </w:tc>
        <w:tc>
          <w:tcPr>
            <w:tcW w:w="4830" w:type="dxa"/>
          </w:tcPr>
          <w:p w14:paraId="0000011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Equipment failures are reported in the system with the three categories (failure before use, on-patient failure with harm, on-patient failure without harm), linked to the order, item and rental. The structured performance form fields (who was present, property loss, injury or death, timing of failure, notes, replacement status) are captured on a case, not by email.</w:t>
            </w:r>
          </w:p>
        </w:tc>
        <w:tc>
          <w:tcPr>
            <w:tcW w:w="3675" w:type="dxa"/>
          </w:tcPr>
          <w:p w14:paraId="0000012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Case links to the item and rental record and keeps history (see PRT-604).</w:t>
            </w:r>
          </w:p>
        </w:tc>
      </w:tr>
      <w:tr w:rsidR="002738E0" w14:paraId="3E90349B" w14:textId="77777777" w:rsidTr="54A12F5A">
        <w:trPr>
          <w:cantSplit/>
        </w:trPr>
        <w:tc>
          <w:tcPr>
            <w:tcW w:w="1080" w:type="dxa"/>
          </w:tcPr>
          <w:p w14:paraId="0000012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CLR-092</w:t>
            </w:r>
          </w:p>
        </w:tc>
        <w:tc>
          <w:tcPr>
            <w:tcW w:w="4830" w:type="dxa"/>
          </w:tcPr>
          <w:p w14:paraId="0000012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CEC can correct patient name, patient ID and PO number on an active rental in the same way portal users can (update details), instead of asking billing to fix it in the back end.</w:t>
            </w:r>
          </w:p>
        </w:tc>
        <w:tc>
          <w:tcPr>
            <w:tcW w:w="3675" w:type="dxa"/>
          </w:tcPr>
          <w:p w14:paraId="0000012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Before and after values, user and time are stored (see PRT-402).</w:t>
            </w:r>
          </w:p>
        </w:tc>
      </w:tr>
      <w:tr w:rsidR="002738E0" w14:paraId="152FA265" w14:textId="77777777" w:rsidTr="54A12F5A">
        <w:trPr>
          <w:cantSplit/>
        </w:trPr>
        <w:tc>
          <w:tcPr>
            <w:tcW w:w="1080" w:type="dxa"/>
          </w:tcPr>
          <w:p w14:paraId="0000012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CLR-093</w:t>
            </w:r>
          </w:p>
        </w:tc>
        <w:tc>
          <w:tcPr>
            <w:tcW w:w="4830" w:type="dxa"/>
          </w:tcPr>
          <w:p w14:paraId="0000012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Every request keeps an audit trail: creation, edits, assignment, status changes, substitutions, cancellations, KPI exclusions and who did them.</w:t>
            </w:r>
          </w:p>
        </w:tc>
        <w:tc>
          <w:tcPr>
            <w:tcW w:w="3675" w:type="dxa"/>
          </w:tcPr>
          <w:p w14:paraId="0000012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Trail is read-only and exportable.</w:t>
            </w:r>
          </w:p>
        </w:tc>
      </w:tr>
    </w:tbl>
    <w:p w14:paraId="00000127" w14:textId="77777777" w:rsidR="002738E0" w:rsidRDefault="002738E0">
      <w:pPr>
        <w:spacing w:after="160" w:line="259" w:lineRule="auto"/>
      </w:pPr>
    </w:p>
    <w:p w14:paraId="187ED283" w14:textId="77777777" w:rsidR="00171B89" w:rsidRDefault="00171B89">
      <w:pPr>
        <w:spacing w:after="160" w:line="259" w:lineRule="auto"/>
      </w:pPr>
    </w:p>
    <w:p w14:paraId="4C36C04F" w14:textId="77777777" w:rsidR="00171B89" w:rsidRDefault="00171B89">
      <w:pPr>
        <w:spacing w:after="160" w:line="259" w:lineRule="auto"/>
      </w:pPr>
    </w:p>
    <w:p w14:paraId="542632BC" w14:textId="77777777" w:rsidR="00171B89" w:rsidRPr="00171B89" w:rsidRDefault="00171B89" w:rsidP="00171B89">
      <w:pPr>
        <w:pStyle w:val="Heading2"/>
        <w:rPr>
          <w:rFonts w:ascii="Calibri" w:hAnsi="Calibri" w:cs="Calibri"/>
        </w:rPr>
      </w:pPr>
      <w:r w:rsidRPr="00171B89">
        <w:rPr>
          <w:rFonts w:ascii="Calibri" w:hAnsi="Calibri" w:cs="Calibri"/>
        </w:rPr>
        <w:t>Legacy Gaps This Design Must Close</w:t>
      </w:r>
    </w:p>
    <w:tbl>
      <w:tblPr>
        <w:tblStyle w:val="TableGrid"/>
        <w:tblW w:w="9918" w:type="dxa"/>
        <w:tblLayout w:type="fixed"/>
        <w:tblLook w:val="04A0" w:firstRow="1" w:lastRow="0" w:firstColumn="1" w:lastColumn="0" w:noHBand="0" w:noVBand="1"/>
      </w:tblPr>
      <w:tblGrid>
        <w:gridCol w:w="7366"/>
        <w:gridCol w:w="2552"/>
      </w:tblGrid>
      <w:tr w:rsidR="001A401F" w:rsidRPr="00171B89" w14:paraId="09E52914" w14:textId="77777777" w:rsidTr="001A401F">
        <w:trPr>
          <w:tblHeader/>
        </w:trPr>
        <w:tc>
          <w:tcPr>
            <w:tcW w:w="7366" w:type="dxa"/>
            <w:shd w:val="clear" w:color="auto" w:fill="F2F2F2"/>
          </w:tcPr>
          <w:p w14:paraId="58752891" w14:textId="77777777" w:rsidR="001A401F" w:rsidRPr="00171B89" w:rsidRDefault="001A401F" w:rsidP="00C93DEC">
            <w:r w:rsidRPr="00171B89">
              <w:rPr>
                <w:b/>
                <w:sz w:val="17"/>
              </w:rPr>
              <w:t xml:space="preserve">Gap in </w:t>
            </w:r>
            <w:proofErr w:type="spellStart"/>
            <w:r w:rsidRPr="00171B89">
              <w:rPr>
                <w:b/>
                <w:sz w:val="17"/>
              </w:rPr>
              <w:t>GoUSME</w:t>
            </w:r>
            <w:proofErr w:type="spellEnd"/>
            <w:r w:rsidRPr="00171B89">
              <w:rPr>
                <w:b/>
                <w:sz w:val="17"/>
              </w:rPr>
              <w:t xml:space="preserve"> today</w:t>
            </w:r>
          </w:p>
        </w:tc>
        <w:tc>
          <w:tcPr>
            <w:tcW w:w="2552" w:type="dxa"/>
            <w:shd w:val="clear" w:color="auto" w:fill="F2F2F2"/>
          </w:tcPr>
          <w:p w14:paraId="676E349C" w14:textId="77777777" w:rsidR="001A401F" w:rsidRPr="00171B89" w:rsidRDefault="001A401F" w:rsidP="00C93DEC">
            <w:r w:rsidRPr="00171B89">
              <w:rPr>
                <w:b/>
                <w:sz w:val="17"/>
              </w:rPr>
              <w:t>Requirement</w:t>
            </w:r>
          </w:p>
        </w:tc>
      </w:tr>
      <w:tr w:rsidR="001A401F" w:rsidRPr="00171B89" w14:paraId="641F8BAC" w14:textId="77777777" w:rsidTr="001A401F">
        <w:trPr>
          <w:cantSplit/>
        </w:trPr>
        <w:tc>
          <w:tcPr>
            <w:tcW w:w="7366" w:type="dxa"/>
          </w:tcPr>
          <w:p w14:paraId="3765A707" w14:textId="77777777" w:rsidR="001A401F" w:rsidRPr="00171B89" w:rsidRDefault="001A401F" w:rsidP="00C93DEC">
            <w:r w:rsidRPr="00171B89">
              <w:rPr>
                <w:sz w:val="17"/>
              </w:rPr>
              <w:t>Call logs can be created on a non-active account by mistake</w:t>
            </w:r>
          </w:p>
        </w:tc>
        <w:tc>
          <w:tcPr>
            <w:tcW w:w="2552" w:type="dxa"/>
          </w:tcPr>
          <w:p w14:paraId="227E58C0" w14:textId="77777777" w:rsidR="001A401F" w:rsidRPr="00171B89" w:rsidRDefault="001A401F" w:rsidP="00C93DEC">
            <w:r w:rsidRPr="00171B89">
              <w:rPr>
                <w:sz w:val="17"/>
              </w:rPr>
              <w:t>CLR-001, GPR-01</w:t>
            </w:r>
          </w:p>
        </w:tc>
      </w:tr>
      <w:tr w:rsidR="001A401F" w:rsidRPr="00171B89" w14:paraId="5C970E4E" w14:textId="77777777" w:rsidTr="001A401F">
        <w:trPr>
          <w:cantSplit/>
        </w:trPr>
        <w:tc>
          <w:tcPr>
            <w:tcW w:w="7366" w:type="dxa"/>
          </w:tcPr>
          <w:p w14:paraId="293E4218" w14:textId="77777777" w:rsidR="001A401F" w:rsidRPr="00171B89" w:rsidRDefault="001A401F" w:rsidP="00C93DEC">
            <w:r w:rsidRPr="00171B89">
              <w:rPr>
                <w:sz w:val="17"/>
              </w:rPr>
              <w:t>No real-time inventory visibility at order entry</w:t>
            </w:r>
          </w:p>
        </w:tc>
        <w:tc>
          <w:tcPr>
            <w:tcW w:w="2552" w:type="dxa"/>
          </w:tcPr>
          <w:p w14:paraId="7248594F" w14:textId="77777777" w:rsidR="001A401F" w:rsidRPr="00171B89" w:rsidRDefault="001A401F" w:rsidP="00C93DEC">
            <w:r w:rsidRPr="00171B89">
              <w:rPr>
                <w:sz w:val="17"/>
              </w:rPr>
              <w:t>CLR-035</w:t>
            </w:r>
          </w:p>
        </w:tc>
      </w:tr>
      <w:tr w:rsidR="001A401F" w:rsidRPr="00171B89" w14:paraId="689CC888" w14:textId="77777777" w:rsidTr="001A401F">
        <w:trPr>
          <w:cantSplit/>
        </w:trPr>
        <w:tc>
          <w:tcPr>
            <w:tcW w:w="7366" w:type="dxa"/>
          </w:tcPr>
          <w:p w14:paraId="2A0CA1AD" w14:textId="77777777" w:rsidR="001A401F" w:rsidRPr="00171B89" w:rsidRDefault="001A401F" w:rsidP="00C93DEC">
            <w:r w:rsidRPr="00171B89">
              <w:rPr>
                <w:sz w:val="17"/>
              </w:rPr>
              <w:t>Required accessories and disposables are not visible; items such as a VN 500 valve ($500 each) are left behind</w:t>
            </w:r>
          </w:p>
        </w:tc>
        <w:tc>
          <w:tcPr>
            <w:tcW w:w="2552" w:type="dxa"/>
          </w:tcPr>
          <w:p w14:paraId="2C12CF05" w14:textId="77777777" w:rsidR="001A401F" w:rsidRPr="00171B89" w:rsidRDefault="001A401F" w:rsidP="00C93DEC">
            <w:r w:rsidRPr="00171B89">
              <w:rPr>
                <w:sz w:val="17"/>
              </w:rPr>
              <w:t>CLR-032</w:t>
            </w:r>
          </w:p>
        </w:tc>
      </w:tr>
      <w:tr w:rsidR="001A401F" w:rsidRPr="00171B89" w14:paraId="5B20B68F" w14:textId="77777777" w:rsidTr="001A401F">
        <w:trPr>
          <w:cantSplit/>
        </w:trPr>
        <w:tc>
          <w:tcPr>
            <w:tcW w:w="7366" w:type="dxa"/>
          </w:tcPr>
          <w:p w14:paraId="61C601D0" w14:textId="77777777" w:rsidR="001A401F" w:rsidRPr="00171B89" w:rsidRDefault="001A401F" w:rsidP="00C93DEC">
            <w:r w:rsidRPr="00171B89">
              <w:rPr>
                <w:sz w:val="17"/>
              </w:rPr>
              <w:t>Accessories typed as free-text notes</w:t>
            </w:r>
          </w:p>
        </w:tc>
        <w:tc>
          <w:tcPr>
            <w:tcW w:w="2552" w:type="dxa"/>
          </w:tcPr>
          <w:p w14:paraId="3A333FBB" w14:textId="77777777" w:rsidR="001A401F" w:rsidRPr="00171B89" w:rsidRDefault="001A401F" w:rsidP="00C93DEC">
            <w:r w:rsidRPr="00171B89">
              <w:rPr>
                <w:sz w:val="17"/>
              </w:rPr>
              <w:t>CLR-032, CLR-036</w:t>
            </w:r>
          </w:p>
        </w:tc>
      </w:tr>
      <w:tr w:rsidR="001A401F" w:rsidRPr="00171B89" w14:paraId="47C7DB33" w14:textId="77777777" w:rsidTr="001A401F">
        <w:trPr>
          <w:cantSplit/>
        </w:trPr>
        <w:tc>
          <w:tcPr>
            <w:tcW w:w="7366" w:type="dxa"/>
          </w:tcPr>
          <w:p w14:paraId="11086CAF" w14:textId="4065DF14" w:rsidR="001A401F" w:rsidRPr="00171B89" w:rsidRDefault="001A401F" w:rsidP="00C93DEC">
            <w:r w:rsidRPr="00171B89">
              <w:rPr>
                <w:sz w:val="17"/>
              </w:rPr>
              <w:t xml:space="preserve">Substitution rules by account or contract exist only as tribal knowledge; </w:t>
            </w:r>
          </w:p>
        </w:tc>
        <w:tc>
          <w:tcPr>
            <w:tcW w:w="2552" w:type="dxa"/>
          </w:tcPr>
          <w:p w14:paraId="6D96A86A" w14:textId="77777777" w:rsidR="001A401F" w:rsidRPr="00171B89" w:rsidRDefault="001A401F" w:rsidP="00C93DEC">
            <w:r w:rsidRPr="00171B89">
              <w:rPr>
                <w:sz w:val="17"/>
              </w:rPr>
              <w:t>CLR-071</w:t>
            </w:r>
          </w:p>
        </w:tc>
      </w:tr>
      <w:tr w:rsidR="001A401F" w:rsidRPr="00171B89" w14:paraId="0FAC01E8" w14:textId="77777777" w:rsidTr="001A401F">
        <w:trPr>
          <w:cantSplit/>
        </w:trPr>
        <w:tc>
          <w:tcPr>
            <w:tcW w:w="7366" w:type="dxa"/>
          </w:tcPr>
          <w:p w14:paraId="5931148F" w14:textId="77777777" w:rsidR="001A401F" w:rsidRPr="00171B89" w:rsidRDefault="001A401F" w:rsidP="00C93DEC">
            <w:r w:rsidRPr="00171B89">
              <w:rPr>
                <w:sz w:val="17"/>
              </w:rPr>
              <w:t>Package cannot be substituted; must cancel and redo</w:t>
            </w:r>
          </w:p>
        </w:tc>
        <w:tc>
          <w:tcPr>
            <w:tcW w:w="2552" w:type="dxa"/>
          </w:tcPr>
          <w:p w14:paraId="3DC0272F" w14:textId="77777777" w:rsidR="001A401F" w:rsidRPr="00171B89" w:rsidRDefault="001A401F" w:rsidP="00C93DEC">
            <w:r w:rsidRPr="00171B89">
              <w:rPr>
                <w:sz w:val="17"/>
              </w:rPr>
              <w:t>CLR-074</w:t>
            </w:r>
          </w:p>
        </w:tc>
      </w:tr>
      <w:tr w:rsidR="001A401F" w:rsidRPr="00171B89" w14:paraId="30F720BC" w14:textId="77777777" w:rsidTr="001A401F">
        <w:trPr>
          <w:cantSplit/>
        </w:trPr>
        <w:tc>
          <w:tcPr>
            <w:tcW w:w="7366" w:type="dxa"/>
          </w:tcPr>
          <w:p w14:paraId="54D1CDDD" w14:textId="77777777" w:rsidR="001A401F" w:rsidRPr="00171B89" w:rsidRDefault="001A401F" w:rsidP="00C93DEC">
            <w:r w:rsidRPr="00171B89">
              <w:rPr>
                <w:sz w:val="17"/>
              </w:rPr>
              <w:t>Swap cannot use a different model; pair not visible in lists</w:t>
            </w:r>
          </w:p>
        </w:tc>
        <w:tc>
          <w:tcPr>
            <w:tcW w:w="2552" w:type="dxa"/>
          </w:tcPr>
          <w:p w14:paraId="3E17C541" w14:textId="77777777" w:rsidR="001A401F" w:rsidRPr="00171B89" w:rsidRDefault="001A401F" w:rsidP="00C93DEC">
            <w:r w:rsidRPr="00171B89">
              <w:rPr>
                <w:sz w:val="17"/>
              </w:rPr>
              <w:t>CLR-072, CLR-073</w:t>
            </w:r>
          </w:p>
        </w:tc>
      </w:tr>
      <w:tr w:rsidR="001A401F" w:rsidRPr="00171B89" w14:paraId="092C5A66" w14:textId="77777777" w:rsidTr="001A401F">
        <w:trPr>
          <w:cantSplit/>
        </w:trPr>
        <w:tc>
          <w:tcPr>
            <w:tcW w:w="7366" w:type="dxa"/>
          </w:tcPr>
          <w:p w14:paraId="13AFA923" w14:textId="77777777" w:rsidR="001A401F" w:rsidRPr="00171B89" w:rsidRDefault="001A401F" w:rsidP="00C93DEC">
            <w:r w:rsidRPr="00171B89">
              <w:rPr>
                <w:sz w:val="17"/>
              </w:rPr>
              <w:t>Stand by and consignment are manual checkboxes and are account-level only</w:t>
            </w:r>
          </w:p>
        </w:tc>
        <w:tc>
          <w:tcPr>
            <w:tcW w:w="2552" w:type="dxa"/>
          </w:tcPr>
          <w:p w14:paraId="568360FB" w14:textId="77777777" w:rsidR="001A401F" w:rsidRPr="00171B89" w:rsidRDefault="001A401F" w:rsidP="00C93DEC">
            <w:r w:rsidRPr="00171B89">
              <w:rPr>
                <w:sz w:val="17"/>
              </w:rPr>
              <w:t>CLR-080, CLR-082</w:t>
            </w:r>
          </w:p>
        </w:tc>
      </w:tr>
      <w:tr w:rsidR="001A401F" w:rsidRPr="00171B89" w14:paraId="1290A034" w14:textId="77777777" w:rsidTr="001A401F">
        <w:trPr>
          <w:cantSplit/>
        </w:trPr>
        <w:tc>
          <w:tcPr>
            <w:tcW w:w="7366" w:type="dxa"/>
          </w:tcPr>
          <w:p w14:paraId="0594AD09" w14:textId="77777777" w:rsidR="001A401F" w:rsidRPr="00171B89" w:rsidRDefault="001A401F" w:rsidP="00C93DEC">
            <w:r w:rsidRPr="00171B89">
              <w:rPr>
                <w:sz w:val="17"/>
              </w:rPr>
              <w:t>Service area on the account is set manually and is sometimes wrong</w:t>
            </w:r>
          </w:p>
        </w:tc>
        <w:tc>
          <w:tcPr>
            <w:tcW w:w="2552" w:type="dxa"/>
          </w:tcPr>
          <w:p w14:paraId="3E63B7D8" w14:textId="77777777" w:rsidR="001A401F" w:rsidRPr="00171B89" w:rsidRDefault="001A401F" w:rsidP="00C93DEC">
            <w:r w:rsidRPr="00171B89">
              <w:rPr>
                <w:sz w:val="17"/>
              </w:rPr>
              <w:t>CLR-050</w:t>
            </w:r>
          </w:p>
        </w:tc>
      </w:tr>
      <w:tr w:rsidR="001A401F" w:rsidRPr="00171B89" w14:paraId="5FC4F419" w14:textId="77777777" w:rsidTr="001A401F">
        <w:trPr>
          <w:cantSplit/>
        </w:trPr>
        <w:tc>
          <w:tcPr>
            <w:tcW w:w="7366" w:type="dxa"/>
          </w:tcPr>
          <w:p w14:paraId="515EB059" w14:textId="77777777" w:rsidR="001A401F" w:rsidRPr="00171B89" w:rsidRDefault="001A401F" w:rsidP="00C93DEC">
            <w:r w:rsidRPr="00171B89">
              <w:rPr>
                <w:sz w:val="17"/>
              </w:rPr>
              <w:t>Billing department can differ from the calling department and is corrected line by line</w:t>
            </w:r>
          </w:p>
        </w:tc>
        <w:tc>
          <w:tcPr>
            <w:tcW w:w="2552" w:type="dxa"/>
          </w:tcPr>
          <w:p w14:paraId="742F906F" w14:textId="77777777" w:rsidR="001A401F" w:rsidRPr="00171B89" w:rsidRDefault="001A401F" w:rsidP="00C93DEC">
            <w:r w:rsidRPr="00171B89">
              <w:rPr>
                <w:sz w:val="17"/>
              </w:rPr>
              <w:t>CLR-011</w:t>
            </w:r>
          </w:p>
        </w:tc>
      </w:tr>
      <w:tr w:rsidR="001A401F" w:rsidRPr="00171B89" w14:paraId="55444AA9" w14:textId="77777777" w:rsidTr="001A401F">
        <w:trPr>
          <w:cantSplit/>
        </w:trPr>
        <w:tc>
          <w:tcPr>
            <w:tcW w:w="7366" w:type="dxa"/>
          </w:tcPr>
          <w:p w14:paraId="21D55400" w14:textId="77777777" w:rsidR="001A401F" w:rsidRPr="00171B89" w:rsidRDefault="001A401F" w:rsidP="00C93DEC">
            <w:r w:rsidRPr="00171B89">
              <w:rPr>
                <w:sz w:val="17"/>
              </w:rPr>
              <w:t>Failure reports are generic, by email, with no link to the item</w:t>
            </w:r>
          </w:p>
        </w:tc>
        <w:tc>
          <w:tcPr>
            <w:tcW w:w="2552" w:type="dxa"/>
          </w:tcPr>
          <w:p w14:paraId="11070480" w14:textId="77777777" w:rsidR="001A401F" w:rsidRPr="00171B89" w:rsidRDefault="001A401F" w:rsidP="00C93DEC">
            <w:r w:rsidRPr="00171B89">
              <w:rPr>
                <w:sz w:val="17"/>
              </w:rPr>
              <w:t>CLR-091</w:t>
            </w:r>
          </w:p>
        </w:tc>
      </w:tr>
      <w:tr w:rsidR="001A401F" w:rsidRPr="00171B89" w14:paraId="7F170D14" w14:textId="77777777" w:rsidTr="001A401F">
        <w:trPr>
          <w:cantSplit/>
        </w:trPr>
        <w:tc>
          <w:tcPr>
            <w:tcW w:w="7366" w:type="dxa"/>
          </w:tcPr>
          <w:p w14:paraId="37F11D05" w14:textId="77777777" w:rsidR="001A401F" w:rsidRPr="00171B89" w:rsidRDefault="001A401F" w:rsidP="00C93DEC">
            <w:r w:rsidRPr="00171B89">
              <w:rPr>
                <w:sz w:val="17"/>
              </w:rPr>
              <w:t>CEC cannot edit patient name, ID or PO; the biller fixes them</w:t>
            </w:r>
          </w:p>
        </w:tc>
        <w:tc>
          <w:tcPr>
            <w:tcW w:w="2552" w:type="dxa"/>
          </w:tcPr>
          <w:p w14:paraId="06B8EADE" w14:textId="77777777" w:rsidR="001A401F" w:rsidRPr="00171B89" w:rsidRDefault="001A401F" w:rsidP="00C93DEC">
            <w:r w:rsidRPr="00171B89">
              <w:rPr>
                <w:sz w:val="17"/>
              </w:rPr>
              <w:t>CLR-092</w:t>
            </w:r>
          </w:p>
        </w:tc>
      </w:tr>
      <w:tr w:rsidR="001A401F" w:rsidRPr="00171B89" w14:paraId="6FF4A511" w14:textId="77777777" w:rsidTr="001A401F">
        <w:trPr>
          <w:cantSplit/>
        </w:trPr>
        <w:tc>
          <w:tcPr>
            <w:tcW w:w="7366" w:type="dxa"/>
          </w:tcPr>
          <w:p w14:paraId="325DAE94" w14:textId="77777777" w:rsidR="001A401F" w:rsidRPr="00171B89" w:rsidRDefault="001A401F" w:rsidP="00C93DEC">
            <w:r w:rsidRPr="00171B89">
              <w:rPr>
                <w:sz w:val="17"/>
              </w:rPr>
              <w:t>Preferred models loaded by hand from a report</w:t>
            </w:r>
          </w:p>
        </w:tc>
        <w:tc>
          <w:tcPr>
            <w:tcW w:w="2552" w:type="dxa"/>
          </w:tcPr>
          <w:p w14:paraId="2FD74166" w14:textId="77777777" w:rsidR="001A401F" w:rsidRPr="00171B89" w:rsidRDefault="001A401F" w:rsidP="00C93DEC">
            <w:r w:rsidRPr="00171B89">
              <w:rPr>
                <w:sz w:val="17"/>
              </w:rPr>
              <w:t>CLR-030 and an owner for upkeep (question 7)</w:t>
            </w:r>
          </w:p>
        </w:tc>
      </w:tr>
    </w:tbl>
    <w:p w14:paraId="176D742A" w14:textId="77777777" w:rsidR="00171B89" w:rsidRPr="00171B89" w:rsidRDefault="00171B89" w:rsidP="00171B89">
      <w:pPr>
        <w:rPr>
          <w:rFonts w:ascii="Calibri" w:hAnsi="Calibri" w:cs="Calibri"/>
        </w:rPr>
      </w:pPr>
    </w:p>
    <w:p w14:paraId="4F8A1D56" w14:textId="77777777" w:rsidR="00171B89" w:rsidRPr="00171B89" w:rsidRDefault="00171B89">
      <w:pPr>
        <w:spacing w:after="160" w:line="259" w:lineRule="auto"/>
        <w:rPr>
          <w:rFonts w:ascii="Calibri" w:hAnsi="Calibri" w:cs="Calibri"/>
        </w:rPr>
      </w:pPr>
    </w:p>
    <w:sectPr w:rsidR="00171B89" w:rsidRPr="00171B89">
      <w:headerReference w:type="default" r:id="rId8"/>
      <w:headerReference w:type="firs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9DE3A" w14:textId="77777777" w:rsidR="00356CE0" w:rsidRDefault="00356CE0">
      <w:pPr>
        <w:spacing w:line="240" w:lineRule="auto"/>
      </w:pPr>
      <w:r>
        <w:separator/>
      </w:r>
    </w:p>
  </w:endnote>
  <w:endnote w:type="continuationSeparator" w:id="0">
    <w:p w14:paraId="66E62312" w14:textId="77777777" w:rsidR="00356CE0" w:rsidRDefault="00356C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821CED-ACDC-42F7-922F-A7E384236DBE}"/>
    <w:embedBold r:id="rId2" w:fontKey="{957735B0-FE57-4BA4-AE3F-74DCF9092688}"/>
    <w:embedItalic r:id="rId3" w:fontKey="{5F6FC4F5-6A4C-4371-B9DD-240BAA083B5A}"/>
  </w:font>
  <w:font w:name="Cambria">
    <w:panose1 w:val="02040503050406030204"/>
    <w:charset w:val="00"/>
    <w:family w:val="roman"/>
    <w:pitch w:val="variable"/>
    <w:sig w:usb0="E00006FF" w:usb1="420024FF" w:usb2="02000000" w:usb3="00000000" w:csb0="0000019F" w:csb1="00000000"/>
    <w:embedRegular r:id="rId4" w:fontKey="{8013648A-1ED5-48EF-B111-C01B910208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A" w14:textId="77777777" w:rsidR="002738E0" w:rsidRDefault="002738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0D6A" w14:textId="77777777" w:rsidR="00356CE0" w:rsidRDefault="00356CE0">
      <w:pPr>
        <w:spacing w:line="240" w:lineRule="auto"/>
      </w:pPr>
      <w:r>
        <w:separator/>
      </w:r>
    </w:p>
  </w:footnote>
  <w:footnote w:type="continuationSeparator" w:id="0">
    <w:p w14:paraId="00824787" w14:textId="77777777" w:rsidR="00356CE0" w:rsidRDefault="00356C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8" w14:textId="77777777" w:rsidR="002738E0" w:rsidRDefault="00356CE0">
    <w:pPr>
      <w:tabs>
        <w:tab w:val="center" w:pos="4513"/>
        <w:tab w:val="right" w:pos="9026"/>
      </w:tabs>
      <w:spacing w:line="240" w:lineRule="auto"/>
    </w:pPr>
    <w:r>
      <w:rPr>
        <w:rFonts w:ascii="Calibri" w:eastAsia="Calibri" w:hAnsi="Calibri" w:cs="Calibri"/>
        <w:noProof/>
      </w:rPr>
      <w:drawing>
        <wp:inline distT="0" distB="0" distL="0" distR="0" wp14:anchorId="4A1E31BC" wp14:editId="07777777">
          <wp:extent cx="527167" cy="30240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2EFD268D" wp14:editId="07777777">
          <wp:extent cx="889897" cy="349959"/>
          <wp:effectExtent l="0" t="0" r="0" b="0"/>
          <wp:docPr id="3" name="image2.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9" w14:textId="77777777" w:rsidR="002738E0" w:rsidRDefault="002738E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A12F5A"/>
    <w:rsid w:val="001629A9"/>
    <w:rsid w:val="00171B89"/>
    <w:rsid w:val="001A401F"/>
    <w:rsid w:val="002738E0"/>
    <w:rsid w:val="00356CE0"/>
    <w:rsid w:val="009B151C"/>
    <w:rsid w:val="54A12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0382"/>
  <w15:docId w15:val="{A36FF8B8-F880-47BE-906F-7CE1B6E4E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5" w:type="dxa"/>
        <w:left w:w="115" w:type="dxa"/>
        <w:bottom w:w="15" w:type="dxa"/>
        <w:right w:w="115" w:type="dxa"/>
      </w:tblCellMar>
    </w:tblPr>
  </w:style>
  <w:style w:type="table" w:customStyle="1" w:styleId="a1">
    <w:basedOn w:val="TableNormal"/>
    <w:tblPr>
      <w:tblStyleRowBandSize w:val="1"/>
      <w:tblStyleColBandSize w:val="1"/>
      <w:tblCellMar>
        <w:top w:w="15" w:type="dxa"/>
        <w:left w:w="115" w:type="dxa"/>
        <w:bottom w:w="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styleId="TableGrid">
    <w:name w:val="Table Grid"/>
    <w:basedOn w:val="TableNormal"/>
    <w:rsid w:val="00171B89"/>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11</Pages>
  <Words>2940</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k</dc:creator>
  <cp:lastModifiedBy>Srinivas</cp:lastModifiedBy>
  <cp:revision>2</cp:revision>
  <dcterms:created xsi:type="dcterms:W3CDTF">2026-10-15T16:34:00Z</dcterms:created>
  <dcterms:modified xsi:type="dcterms:W3CDTF">2026-10-15T16:34:00Z</dcterms:modified>
</cp:coreProperties>
</file>