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Minutes of Meeting</w:t>
      </w:r>
    </w:p>
    <w:p>
      <w:pPr>
        <w:spacing w:after="100"/>
      </w:pPr>
      <w:r>
        <w:rPr>
          <w:b/>
          <w:bCs/>
        </w:rPr>
        <w:t xml:space="preserve">Rootstock (Ascent Team) Working Session — Day 3: Integration Scope, Extensibility, Traceability &amp; Data Storage Sizing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D9E2F3" w:color="auto" w:val="clear"/>
            <w:tcMar>
              <w:top w:type="dxa" w:w="80"/>
              <w:left w:type="dxa" w:w="100"/>
              <w:bottom w:type="dxa" w:w="80"/>
              <w:right w:type="dxa" w:w="100"/>
            </w:tcMar>
          </w:tcPr>
          <w:p>
            <w:r>
              <w:rPr>
                <w:b/>
                <w:bCs/>
              </w:rPr>
              <w:t xml:space="preserve">Field</w:t>
            </w:r>
          </w:p>
        </w:tc>
        <w:tc>
          <w:tcPr>
            <w:tcW w:type="dxa" w:w="7400"/>
            <w:shd w:fill="D9E2F3" w:color="auto" w:val="clear"/>
            <w:tcMar>
              <w:top w:type="dxa" w:w="80"/>
              <w:left w:type="dxa" w:w="100"/>
              <w:bottom w:type="dxa" w:w="80"/>
              <w:right w:type="dxa" w:w="100"/>
            </w:tcMar>
          </w:tcPr>
          <w:p>
            <w:r>
              <w:rPr>
                <w:b/>
                <w:bCs/>
              </w:rPr>
              <w:t xml:space="preserve">Detail</w:t>
            </w:r>
          </w:p>
        </w:tc>
      </w:tr>
      <w:tr>
        <w:tc>
          <w:tcPr>
            <w:tcW w:type="dxa" w:w="2600"/>
            <w:tcMar>
              <w:top w:type="dxa" w:w="80"/>
              <w:left w:type="dxa" w:w="100"/>
              <w:bottom w:type="dxa" w:w="80"/>
              <w:right w:type="dxa" w:w="100"/>
            </w:tcMar>
          </w:tcPr>
          <w:p>
            <w:r>
              <w:rPr>
                <w:b w:val="false"/>
                <w:bCs w:val="false"/>
              </w:rPr>
              <w:t xml:space="preserve">Date</w:t>
            </w:r>
          </w:p>
        </w:tc>
        <w:tc>
          <w:tcPr>
            <w:tcW w:type="dxa" w:w="7400"/>
            <w:tcMar>
              <w:top w:type="dxa" w:w="80"/>
              <w:left w:type="dxa" w:w="100"/>
              <w:bottom w:type="dxa" w:w="80"/>
              <w:right w:type="dxa" w:w="100"/>
            </w:tcMar>
          </w:tcPr>
          <w:p>
            <w:r>
              <w:rPr>
                <w:b w:val="false"/>
                <w:bCs w:val="false"/>
              </w:rPr>
              <w:t xml:space="preserve">Wednesday, August 26, 2026</w:t>
            </w:r>
          </w:p>
        </w:tc>
      </w:tr>
      <w:tr>
        <w:tc>
          <w:tcPr>
            <w:tcW w:type="dxa" w:w="2600"/>
            <w:tcMar>
              <w:top w:type="dxa" w:w="80"/>
              <w:left w:type="dxa" w:w="100"/>
              <w:bottom w:type="dxa" w:w="80"/>
              <w:right w:type="dxa" w:w="100"/>
            </w:tcMar>
          </w:tcPr>
          <w:p>
            <w:r>
              <w:rPr>
                <w:b w:val="false"/>
                <w:bCs w:val="false"/>
              </w:rPr>
              <w:t xml:space="preserve">Subject</w:t>
            </w:r>
          </w:p>
        </w:tc>
        <w:tc>
          <w:tcPr>
            <w:tcW w:type="dxa" w:w="7400"/>
            <w:tcMar>
              <w:top w:type="dxa" w:w="80"/>
              <w:left w:type="dxa" w:w="100"/>
              <w:bottom w:type="dxa" w:w="80"/>
              <w:right w:type="dxa" w:w="100"/>
            </w:tcMar>
          </w:tcPr>
          <w:p>
            <w:r>
              <w:rPr>
                <w:b w:val="false"/>
                <w:bCs w:val="false"/>
              </w:rPr>
              <w:t xml:space="preserve">Third and final working session with Rootstock's Ascent team ahead of Friday's product demo, closing out the CRM object integration/migration model, RFID/barcode capability, rental order controls, traceability, custom-development flexibility, and Salesforce data storage sizing methodology.</w:t>
            </w:r>
          </w:p>
        </w:tc>
      </w:tr>
      <w:tr>
        <w:tc>
          <w:tcPr>
            <w:tcW w:type="dxa" w:w="2600"/>
            <w:tcMar>
              <w:top w:type="dxa" w:w="80"/>
              <w:left w:type="dxa" w:w="100"/>
              <w:bottom w:type="dxa" w:w="80"/>
              <w:right w:type="dxa" w:w="100"/>
            </w:tcMar>
          </w:tcPr>
          <w:p>
            <w:r>
              <w:rPr>
                <w:b w:val="false"/>
                <w:bCs w:val="false"/>
              </w:rPr>
              <w:t xml:space="preserve">Attendees — Rootstock (Ascent Team)</w:t>
            </w:r>
          </w:p>
        </w:tc>
        <w:tc>
          <w:tcPr>
            <w:tcW w:type="dxa" w:w="7400"/>
            <w:tcMar>
              <w:top w:type="dxa" w:w="80"/>
              <w:left w:type="dxa" w:w="100"/>
              <w:bottom w:type="dxa" w:w="80"/>
              <w:right w:type="dxa" w:w="100"/>
            </w:tcMar>
          </w:tcPr>
          <w:p>
            <w:r>
              <w:rPr>
                <w:b w:val="false"/>
                <w:bCs w:val="false"/>
              </w:rPr>
              <w:t xml:space="preserve">Tom, Brian (Product Team), Charlie, plus additional Rootstock representatives on the call</w:t>
            </w:r>
          </w:p>
        </w:tc>
      </w:tr>
      <w:tr>
        <w:tc>
          <w:tcPr>
            <w:tcW w:type="dxa" w:w="2600"/>
            <w:tcMar>
              <w:top w:type="dxa" w:w="80"/>
              <w:left w:type="dxa" w:w="100"/>
              <w:bottom w:type="dxa" w:w="80"/>
              <w:right w:type="dxa" w:w="100"/>
            </w:tcMar>
          </w:tcPr>
          <w:p>
            <w:r>
              <w:rPr>
                <w:b w:val="false"/>
                <w:bCs w:val="false"/>
              </w:rPr>
              <w:t xml:space="preserve">Attendees — USME</w:t>
            </w:r>
          </w:p>
        </w:tc>
        <w:tc>
          <w:tcPr>
            <w:tcW w:type="dxa" w:w="7400"/>
            <w:tcMar>
              <w:top w:type="dxa" w:w="80"/>
              <w:left w:type="dxa" w:w="100"/>
              <w:bottom w:type="dxa" w:w="80"/>
              <w:right w:type="dxa" w:w="100"/>
            </w:tcMar>
          </w:tcPr>
          <w:p>
            <w:r>
              <w:rPr>
                <w:b w:val="false"/>
                <w:bCs w:val="false"/>
              </w:rPr>
              <w:t xml:space="preserve">Adithya, Naveen</w:t>
            </w:r>
          </w:p>
        </w:tc>
      </w:tr>
      <w:tr>
        <w:tc>
          <w:tcPr>
            <w:tcW w:type="dxa" w:w="2600"/>
            <w:tcMar>
              <w:top w:type="dxa" w:w="80"/>
              <w:left w:type="dxa" w:w="100"/>
              <w:bottom w:type="dxa" w:w="80"/>
              <w:right w:type="dxa" w:w="100"/>
            </w:tcMar>
          </w:tcPr>
          <w:p>
            <w:r>
              <w:rPr>
                <w:b w:val="false"/>
                <w:bCs w:val="false"/>
              </w:rPr>
              <w:t xml:space="preserve">Attendees — Durvah</w:t>
            </w:r>
          </w:p>
        </w:tc>
        <w:tc>
          <w:tcPr>
            <w:tcW w:type="dxa" w:w="7400"/>
            <w:tcMar>
              <w:top w:type="dxa" w:w="80"/>
              <w:left w:type="dxa" w:w="100"/>
              <w:bottom w:type="dxa" w:w="80"/>
              <w:right w:type="dxa" w:w="100"/>
            </w:tcMar>
          </w:tcPr>
          <w:p>
            <w:r>
              <w:rPr>
                <w:b w:val="false"/>
                <w:bCs w:val="false"/>
              </w:rPr>
              <w:t xml:space="preserve">Srini, Kishore, Madhusmitha, Dinesh</w:t>
            </w:r>
          </w:p>
        </w:tc>
      </w:tr>
    </w:tbl>
    <w:p>
      <w:pPr>
        <w:pStyle w:val="Heading1"/>
        <w:spacing w:after="140" w:before="340"/>
      </w:pPr>
      <w:r>
        <w:t xml:space="preserve">1. Purpose of the Meeting</w:t>
      </w:r>
    </w:p>
    <w:p>
      <w:pPr>
        <w:spacing w:after="100"/>
      </w:pPr>
      <w:r>
        <w:t xml:space="preserve">To close out the remaining open items ahead of Friday's demo: status on the Workato invoice-volume estimate, the CG4 RFID bulk-scanning requirement, how Ascent's objects relate to and would integrate or migrate with USME's standard Salesforce CRM objects, and a broad set of extensibility, traceability, and data-sizing questions Durvah had queued up.</w:t>
      </w:r>
    </w:p>
    <w:p>
      <w:pPr>
        <w:pStyle w:val="Heading1"/>
        <w:spacing w:after="140" w:before="340"/>
      </w:pPr>
      <w:r>
        <w:t xml:space="preserve">2. Follow-Ups From Prior Sessions</w:t>
      </w:r>
    </w:p>
    <w:p>
      <w:pPr>
        <w:spacing w:after="40" w:before="100"/>
      </w:pPr>
      <w:r>
        <w:rPr>
          <w:b/>
          <w:bCs/>
        </w:rPr>
        <w:t xml:space="preserve">Q: </w:t>
      </w:r>
      <w:r>
        <w:rPr>
          <w:b/>
          <w:bCs/>
        </w:rPr>
        <w:t xml:space="preserve">What is the estimated invoice event volume for the planned Workato integration?</w:t>
      </w:r>
    </w:p>
    <w:p>
      <w:pPr>
        <w:spacing w:after="120"/>
      </w:pPr>
      <w:r>
        <w:rPr>
          <w:b/>
          <w:bCs/>
          <w:color w:val="2E5E3E"/>
        </w:rPr>
        <w:t xml:space="preserve">A: </w:t>
      </w:r>
      <w:r>
        <w:t xml:space="preserve">Still in progress — Rootstock has preliminary numbers but is cross-checking them before sharing a confirmed estimate.</w:t>
      </w:r>
    </w:p>
    <w:p>
      <w:pPr>
        <w:spacing w:after="40" w:before="100"/>
      </w:pPr>
      <w:r>
        <w:rPr>
          <w:b/>
          <w:bCs/>
        </w:rPr>
        <w:t xml:space="preserve">Q: </w:t>
      </w:r>
      <w:r>
        <w:rPr>
          <w:b/>
          <w:bCs/>
        </w:rPr>
        <w:t xml:space="preserve">Durvah shared CG4 documentation for a bulk RFID scanning tool (RFID interface guns used to scan equipment) — is this capability available in Ascent today?</w:t>
      </w:r>
    </w:p>
    <w:p>
      <w:pPr>
        <w:spacing w:after="120"/>
      </w:pPr>
      <w:r>
        <w:rPr>
          <w:b/>
          <w:bCs/>
          <w:color w:val="2E5E3E"/>
        </w:rPr>
        <w:t xml:space="preserve">A: </w:t>
      </w:r>
      <w:r>
        <w:t xml:space="preserve">Not yet confirmed. Rootstock has RFID-handling functionality in a couple of forms but had not reviewed the specific CG4 documentation before this call. The question was deferred to Brian for a technical first pass, with Rootstock committing to a follow-up answer the next day.</w:t>
      </w:r>
    </w:p>
    <w:p>
      <w:pPr>
        <w:pStyle w:val="Heading1"/>
        <w:spacing w:after="140" w:before="340"/>
      </w:pPr>
      <w:r>
        <w:t xml:space="preserve">3. CRM Object Architecture, Integration &amp; Migration</w:t>
      </w:r>
    </w:p>
    <w:p>
      <w:pPr>
        <w:spacing w:after="40" w:before="100"/>
      </w:pPr>
      <w:r>
        <w:rPr>
          <w:b/>
          <w:bCs/>
        </w:rPr>
        <w:t xml:space="preserve">Q: </w:t>
      </w:r>
      <w:r>
        <w:rPr>
          <w:b/>
          <w:bCs/>
        </w:rPr>
        <w:t xml:space="preserve">Since Ascent is built entirely natively on Salesforce, does it include its own custom objects for sales functions (Opportunities, Leads, etc.), or does it rely on standard Salesforce objects?</w:t>
      </w:r>
    </w:p>
    <w:p>
      <w:pPr>
        <w:spacing w:after="120"/>
      </w:pPr>
      <w:r>
        <w:rPr>
          <w:b/>
          <w:bCs/>
          <w:color w:val="2E5E3E"/>
        </w:rPr>
        <w:t xml:space="preserve">A: </w:t>
      </w:r>
      <w:r>
        <w:t xml:space="preserve">100% native — technically, everything Ascent adds is a "custom object" from Salesforce's perspective since it extends the base platform. Ascent shares Salesforce's standard Accounts and Contacts objects directly (no separate account/contact object of its own). It uses the standard Salesforce Opportunity object optionally. It provides its own Quote object, which customers can use instead of — or alongside — the standard Salesforce Quote object, and its own Orders object, which is how Ascent fulfills rental and sales orders.</w:t>
      </w:r>
    </w:p>
    <w:p>
      <w:pPr>
        <w:spacing w:after="40" w:before="100"/>
      </w:pPr>
      <w:r>
        <w:rPr>
          <w:b/>
          <w:bCs/>
        </w:rPr>
        <w:t xml:space="preserve">Q: </w:t>
      </w:r>
      <w:r>
        <w:rPr>
          <w:b/>
          <w:bCs/>
        </w:rPr>
        <w:t xml:space="preserve">USME currently uses Opportunities and standard reporting. If Central/Ascent is chosen, how would integration or migration work between Ascent's objects and USME's standard CRM objects — is that in Rootstock's scope?</w:t>
      </w:r>
    </w:p>
    <w:p>
      <w:pPr>
        <w:spacing w:after="120"/>
      </w:pPr>
      <w:r>
        <w:rPr>
          <w:b/>
          <w:bCs/>
          <w:color w:val="2E5E3E"/>
        </w:rPr>
        <w:t xml:space="preserve">A: </w:t>
      </w:r>
      <w:r>
        <w:t xml:space="preserve">This is not a replacement of Opportunities — it is configuring the standard Salesforce Opportunity object to also carry Ascent rental data (new UI, new fields), with no migration of existing opportunity data required; existing opportunities remain as-is. For Quotes specifically: if USME chooses to use Ascent's native Quote object instead of the standard Salesforce Quote, Rootstock would migrate in-flight quotes (historic quotes only if requested, not by default). Alternatively, a flow could be built that keeps using standard Salesforce Quotes while generating Ascent rental orders from those quotes. These are implementation-time decisions to be made together.</w:t>
      </w:r>
    </w:p>
    <w:p>
      <w:pPr>
        <w:spacing w:after="40" w:before="100"/>
      </w:pPr>
      <w:r>
        <w:rPr>
          <w:b/>
          <w:bCs/>
        </w:rPr>
        <w:t xml:space="preserve">Q: </w:t>
      </w:r>
      <w:r>
        <w:rPr>
          <w:b/>
          <w:bCs/>
        </w:rPr>
        <w:t xml:space="preserve">Would integrating with USME's standard CRM objects (rather than using Ascent's native Quote object) add cost, scope, or timeline?</w:t>
      </w:r>
    </w:p>
    <w:p>
      <w:pPr>
        <w:spacing w:after="120"/>
      </w:pPr>
      <w:r>
        <w:rPr>
          <w:b/>
          <w:bCs/>
          <w:color w:val="2E5E3E"/>
        </w:rPr>
        <w:t xml:space="preserve">A: </w:t>
      </w:r>
      <w:r>
        <w:t xml:space="preserve">A modest difference, not a large one. Rootstock's estimates to date assume USME uses Ascent's native Quote object, since it is tightly integrated with the rest of the platform; product/item strategy was already covered in detail on a prior call and has significant built-in flexibility, so Quotes is really the one object of interest here. If USME instead wants to keep the standard Salesforce Quote object and build a flow into Ascent orders, that requires some additional back-end integration work, which Rootstock would treat as a change request with associated cost once the direction is finalized — flagged by Durvah as a real factor to weigh alongside licensing and base implementation cost.</w:t>
      </w:r>
    </w:p>
    <w:p>
      <w:pPr>
        <w:pStyle w:val="Heading1"/>
        <w:spacing w:after="140" w:before="340"/>
      </w:pPr>
      <w:r>
        <w:t xml:space="preserve">4. Barcode / RFID, Rental Order Controls &amp; Traceability</w:t>
      </w:r>
    </w:p>
    <w:p>
      <w:pPr>
        <w:spacing w:after="40" w:before="100"/>
      </w:pPr>
      <w:r>
        <w:rPr>
          <w:b/>
          <w:bCs/>
        </w:rPr>
        <w:t xml:space="preserve">Q: </w:t>
      </w:r>
      <w:r>
        <w:rPr>
          <w:b/>
          <w:bCs/>
        </w:rPr>
        <w:t xml:space="preserve">Can Ascent generate a barcode automatically (e.g., when goods are received and scanned) and populate an inventory field, and can it generate RFID tags for internal-only assets that never leave the premises?</w:t>
      </w:r>
    </w:p>
    <w:p>
      <w:pPr>
        <w:spacing w:after="120"/>
      </w:pPr>
      <w:r>
        <w:rPr>
          <w:b/>
          <w:bCs/>
          <w:color w:val="2E5E3E"/>
        </w:rPr>
        <w:t xml:space="preserve">A: </w:t>
      </w:r>
      <w:r>
        <w:t xml:space="preserve">Yes for barcodes — Rootstock offers a small additional plug-in module that generates a barcode from any object in Salesforce; barcode and mobility/scanning support is a core specialty of Rootstock. RFID tag generation and programming is somewhat more involved than barcode generation; full RFID specifics remain tied to the pending CG4 review.</w:t>
      </w:r>
    </w:p>
    <w:p>
      <w:pPr>
        <w:spacing w:after="40" w:before="100"/>
      </w:pPr>
      <w:r>
        <w:rPr>
          <w:b/>
          <w:bCs/>
        </w:rPr>
        <w:t xml:space="preserve">Q: </w:t>
      </w:r>
      <w:r>
        <w:rPr>
          <w:b/>
          <w:bCs/>
        </w:rPr>
        <w:t xml:space="preserve">Can rental start/stop dates be changed on an in-flight order, and are there controls around that?</w:t>
      </w:r>
    </w:p>
    <w:p>
      <w:pPr>
        <w:spacing w:after="120"/>
      </w:pPr>
      <w:r>
        <w:rPr>
          <w:b/>
          <w:bCs/>
          <w:color w:val="2E5E3E"/>
        </w:rPr>
        <w:t xml:space="preserve">A: </w:t>
      </w:r>
      <w:r>
        <w:t xml:space="preserve">Out of the box, Ascent allows maximum flexibility — dates can technically be extended even while an order is in flight, and that feeds directly into invoice calculation. During implementation, Rootstock would work with USME to define the specific business rules for when date changes are permitted and what the downstream implications are, then layer in the appropriate controls/guardrails.</w:t>
      </w:r>
    </w:p>
    <w:p>
      <w:pPr>
        <w:spacing w:after="40" w:before="100"/>
      </w:pPr>
      <w:r>
        <w:rPr>
          <w:b/>
          <w:bCs/>
        </w:rPr>
        <w:t xml:space="preserve">Q: </w:t>
      </w:r>
      <w:r>
        <w:rPr>
          <w:b/>
          <w:bCs/>
        </w:rPr>
        <w:t xml:space="preserve">Can the system trace patient exposure and recall history for a given piece of equipment?</w:t>
      </w:r>
    </w:p>
    <w:p>
      <w:pPr>
        <w:spacing w:after="120"/>
      </w:pPr>
      <w:r>
        <w:rPr>
          <w:b/>
          <w:bCs/>
          <w:color w:val="2E5E3E"/>
        </w:rPr>
        <w:t xml:space="preserve">A: </w:t>
      </w:r>
      <w:r>
        <w:t xml:space="preserve">Yes. For lot-tracked items, every patient touched by that lot on any order is traceable; the same traceability applies to serialized items.</w:t>
      </w:r>
    </w:p>
    <w:p>
      <w:pPr>
        <w:spacing w:after="40" w:before="100"/>
      </w:pPr>
      <w:r>
        <w:rPr>
          <w:b/>
          <w:bCs/>
        </w:rPr>
        <w:t xml:space="preserve">Q: </w:t>
      </w:r>
      <w:r>
        <w:rPr>
          <w:b/>
          <w:bCs/>
        </w:rPr>
        <w:t xml:space="preserve">If a returned asset is damaged, how does Ascent track its repair status and location?</w:t>
      </w:r>
    </w:p>
    <w:p>
      <w:pPr>
        <w:spacing w:after="120"/>
      </w:pPr>
      <w:r>
        <w:rPr>
          <w:b/>
          <w:bCs/>
          <w:color w:val="2E5E3E"/>
        </w:rPr>
        <w:t xml:space="preserve">A: </w:t>
      </w:r>
      <w:r>
        <w:t xml:space="preserve">Ascent maintains separate locations for the rental fleet, sellable items, and designated repair locations. The work-order process supports repairing an item and, upon work-order completion, automatically returns it to circulation for rent or sale — this is part of the standard work-order flow and will be shown in more detail at Friday's demo.</w:t>
      </w:r>
    </w:p>
    <w:p>
      <w:pPr>
        <w:spacing w:after="40" w:before="100"/>
      </w:pPr>
      <w:r>
        <w:rPr>
          <w:b/>
          <w:bCs/>
        </w:rPr>
        <w:t xml:space="preserve">Q: </w:t>
      </w:r>
      <w:r>
        <w:rPr>
          <w:b/>
          <w:bCs/>
        </w:rPr>
        <w:t xml:space="preserve">Does Ascent provide standard functionality to check asset availability and prevent an asset from being double-booked or duplicated?</w:t>
      </w:r>
    </w:p>
    <w:p>
      <w:pPr>
        <w:spacing w:after="120"/>
      </w:pPr>
      <w:r>
        <w:rPr>
          <w:b/>
          <w:bCs/>
          <w:color w:val="2E5E3E"/>
        </w:rPr>
        <w:t xml:space="preserve">A: </w:t>
      </w:r>
      <w:r>
        <w:t xml:space="preserve">Yes — built-in serial number validation ensures each serial number is unique and can only be in use in one place at a time, validated across the entire order history and enterprise.</w:t>
      </w:r>
    </w:p>
    <w:p>
      <w:pPr>
        <w:pStyle w:val="Heading1"/>
        <w:spacing w:after="140" w:before="340"/>
      </w:pPr>
      <w:r>
        <w:t xml:space="preserve">5. Security, Release Process &amp; Licensing (Confirmed)</w:t>
      </w:r>
    </w:p>
    <w:p>
      <w:pPr>
        <w:spacing w:after="40" w:before="100"/>
      </w:pPr>
      <w:r>
        <w:rPr>
          <w:b/>
          <w:bCs/>
        </w:rPr>
        <w:t xml:space="preserve">Q: </w:t>
      </w:r>
      <w:r>
        <w:rPr>
          <w:b/>
          <w:bCs/>
        </w:rPr>
        <w:t xml:space="preserve">Would Salesforce Shield encryption key rotation impact the invoice process?</w:t>
      </w:r>
    </w:p>
    <w:p>
      <w:pPr>
        <w:spacing w:after="120"/>
      </w:pPr>
      <w:r>
        <w:rPr>
          <w:b/>
          <w:bCs/>
          <w:color w:val="2E5E3E"/>
        </w:rPr>
        <w:t xml:space="preserve">A: </w:t>
      </w:r>
      <w:r>
        <w:t xml:space="preserve">Rootstock does not believe Shield encryption key rotation will have any impact on the invoice process.</w:t>
      </w:r>
    </w:p>
    <w:p>
      <w:pPr>
        <w:spacing w:after="40" w:before="100"/>
      </w:pPr>
      <w:r>
        <w:rPr>
          <w:b/>
          <w:bCs/>
        </w:rPr>
        <w:t xml:space="preserve">Q: </w:t>
      </w:r>
      <w:r>
        <w:rPr>
          <w:b/>
          <w:bCs/>
        </w:rPr>
        <w:t xml:space="preserve">How are Ascent releases and updates tested before reaching customers?</w:t>
      </w:r>
    </w:p>
    <w:p>
      <w:pPr>
        <w:spacing w:after="120"/>
      </w:pPr>
      <w:r>
        <w:rPr>
          <w:b/>
          <w:bCs/>
          <w:color w:val="2E5E3E"/>
        </w:rPr>
        <w:t xml:space="preserve">A: </w:t>
      </w:r>
      <w:r>
        <w:t xml:space="preserve">Every Ascent build goes through thorough regression testing, coordinated by Brian as Rootstock's product owner for all USME-relevant products, including automated scripted QA testing before release. Every implementation is different, so Rootstock also asks customers to maintain a UAT sandbox with production-like data and run their own regression tests; at implementation, Rootstock leaves behind a suggested set of test scripts to collaborate on, which the customer then owns and updates as business processes evolve. Rootstock operates a pull model, so the customer fully controls upgrade timing — some customers go a year without upgrading, others upgrade several times a year.</w:t>
      </w:r>
    </w:p>
    <w:p>
      <w:pPr>
        <w:spacing w:after="40" w:before="100"/>
      </w:pPr>
      <w:r>
        <w:rPr>
          <w:b/>
          <w:bCs/>
        </w:rPr>
        <w:t xml:space="preserve">Q: </w:t>
      </w:r>
      <w:r>
        <w:rPr>
          <w:b/>
          <w:bCs/>
        </w:rPr>
        <w:t xml:space="preserve">Does Rootstock's per-user licensing cost change depending on which Salesforce license type (OEM bundle vs. ISV add-on) is used?</w:t>
      </w:r>
    </w:p>
    <w:p>
      <w:pPr>
        <w:spacing w:after="120"/>
      </w:pPr>
      <w:r>
        <w:rPr>
          <w:b/>
          <w:bCs/>
          <w:color w:val="2E5E3E"/>
        </w:rPr>
        <w:t xml:space="preserve">A: </w:t>
      </w:r>
      <w:r>
        <w:t xml:space="preserve">No — Ascent's per-user cost does not change based on the underlying Salesforce licensing path chosen; OEM bundle and ISV add-on are priced very similarly to each other.</w:t>
      </w:r>
    </w:p>
    <w:p>
      <w:pPr>
        <w:spacing w:after="40" w:before="100"/>
      </w:pPr>
      <w:r>
        <w:rPr>
          <w:b/>
          <w:bCs/>
        </w:rPr>
        <w:t xml:space="preserve">Q: </w:t>
      </w:r>
      <w:r>
        <w:rPr>
          <w:b/>
          <w:bCs/>
        </w:rPr>
        <w:t xml:space="preserve">What is the AI-agent/order-management package that came up (cancel sales orders, request returns)?</w:t>
      </w:r>
    </w:p>
    <w:p>
      <w:pPr>
        <w:spacing w:after="120"/>
      </w:pPr>
      <w:r>
        <w:rPr>
          <w:b/>
          <w:bCs/>
          <w:color w:val="2E5E3E"/>
        </w:rPr>
        <w:t xml:space="preserve">A: </w:t>
      </w:r>
      <w:r>
        <w:t xml:space="preserve">It is a proof-of-concept package showing what can be built with an AI agent in an order-management context — not built specifically for rentals, and not expected to be part of USME's core plan. It can be purchased optionally, or USME (or Rootstock) could build custom AI agents using the hooks already exposed in the platform. It is not a requirement.</w:t>
      </w:r>
    </w:p>
    <w:p>
      <w:pPr>
        <w:pStyle w:val="Heading1"/>
        <w:spacing w:after="140" w:before="340"/>
      </w:pPr>
      <w:r>
        <w:t xml:space="preserve">6. Extensibility &amp; Custom Development</w:t>
      </w:r>
    </w:p>
    <w:p>
      <w:pPr>
        <w:spacing w:after="40" w:before="100"/>
      </w:pPr>
      <w:r>
        <w:rPr>
          <w:b/>
          <w:bCs/>
        </w:rPr>
        <w:t xml:space="preserve">Q: </w:t>
      </w:r>
      <w:r>
        <w:rPr>
          <w:b/>
          <w:bCs/>
        </w:rPr>
        <w:t xml:space="preserve">Can USME build custom Salesforce apps, custom fields, and custom lookup/master-detail relationships involving Ascent's objects?</w:t>
      </w:r>
    </w:p>
    <w:p>
      <w:pPr>
        <w:spacing w:after="120"/>
      </w:pPr>
      <w:r>
        <w:rPr>
          <w:b/>
          <w:bCs/>
          <w:color w:val="2E5E3E"/>
        </w:rPr>
        <w:t xml:space="preserve">A: </w:t>
      </w:r>
      <w:r>
        <w:t xml:space="preserve">Yes to all of it — no Ascent-specific limitation beyond standard Salesforce platform limits. Ascent's own packaged fields (noted as being in the hundreds) do not count against an object's field limits since they ship inside the managed package, but any custom fields or relationships USME adds do count toward standard Salesforce limits and could eventually be exhausted, same as in any org.</w:t>
      </w:r>
    </w:p>
    <w:p>
      <w:pPr>
        <w:spacing w:after="40" w:before="100"/>
      </w:pPr>
      <w:r>
        <w:rPr>
          <w:b/>
          <w:bCs/>
        </w:rPr>
        <w:t xml:space="preserve">Q: </w:t>
      </w:r>
      <w:r>
        <w:rPr>
          <w:b/>
          <w:bCs/>
        </w:rPr>
        <w:t xml:space="preserve">Since the Ascent Rental managed package doesn't expose source code, what happens if USME needs a minor code-level change?</w:t>
      </w:r>
    </w:p>
    <w:p>
      <w:pPr>
        <w:spacing w:after="120"/>
      </w:pPr>
      <w:r>
        <w:rPr>
          <w:b/>
          <w:bCs/>
          <w:color w:val="2E5E3E"/>
        </w:rPr>
        <w:t xml:space="preserve">A: </w:t>
      </w:r>
      <w:r>
        <w:t xml:space="preserve">USME would need to engage Rootstock for any change that requires modifying logic inside the managed package itself. Rootstock designs to minimize this — wherever possible, customization is built around the package rather than inside it. If a requested change is broadly useful, Rootstock typically adds it to its product roadmap (sometimes accelerated) at no direct charge to USME, and has in the past set up cost-share arrangements for high-priority roadmap items. A change that is fully one-off/custom to USME alone would be treated as billable custom development.</w:t>
      </w:r>
    </w:p>
    <w:p>
      <w:pPr>
        <w:spacing w:after="40" w:before="100"/>
      </w:pPr>
      <w:r>
        <w:rPr>
          <w:b/>
          <w:bCs/>
        </w:rPr>
        <w:t xml:space="preserve">Q: </w:t>
      </w:r>
      <w:r>
        <w:rPr>
          <w:b/>
          <w:bCs/>
        </w:rPr>
        <w:t xml:space="preserve">Can standard automation (platform events, multiple triggers via a trigger-handler pattern, etc.) be built against Ascent's objects like any other custom object?</w:t>
      </w:r>
    </w:p>
    <w:p>
      <w:pPr>
        <w:spacing w:after="120"/>
      </w:pPr>
      <w:r>
        <w:rPr>
          <w:b/>
          <w:bCs/>
          <w:color w:val="2E5E3E"/>
        </w:rPr>
        <w:t xml:space="preserve">A: </w:t>
      </w:r>
      <w:r>
        <w:t xml:space="preserve">Yes — normal Salesforce development rules apply, with no additional restriction specific to Ascent's objects.</w:t>
      </w:r>
    </w:p>
    <w:p>
      <w:pPr>
        <w:spacing w:after="40" w:before="100"/>
      </w:pPr>
      <w:r>
        <w:rPr>
          <w:b/>
          <w:bCs/>
        </w:rPr>
        <w:t xml:space="preserve">Q: </w:t>
      </w:r>
      <w:r>
        <w:rPr>
          <w:b/>
          <w:bCs/>
        </w:rPr>
        <w:t xml:space="preserve">How are integration errors and retries surfaced (e.g., for the Salesforce-side integration handling)?</w:t>
      </w:r>
    </w:p>
    <w:p>
      <w:pPr>
        <w:spacing w:after="120"/>
      </w:pPr>
      <w:r>
        <w:rPr>
          <w:b/>
          <w:bCs/>
          <w:color w:val="2E5E3E"/>
        </w:rPr>
        <w:t xml:space="preserve">A: </w:t>
      </w:r>
      <w:r>
        <w:t xml:space="preserve">Rootstock provides visibility through log objects and messages accessible via platform tooling. If a specific need arose to extend Rootstock's APIs for enhanced error handling, that would be treated as a billable enhancement, though Rootstock noted this need has rarely come up in practice.</w:t>
      </w:r>
    </w:p>
    <w:p>
      <w:pPr>
        <w:pStyle w:val="Heading1"/>
        <w:spacing w:after="140" w:before="340"/>
      </w:pPr>
      <w:r>
        <w:t xml:space="preserve">7. Governor Limits &amp; Data Storage Sizing</w:t>
      </w:r>
    </w:p>
    <w:p>
      <w:pPr>
        <w:spacing w:after="40" w:before="100"/>
      </w:pPr>
      <w:r>
        <w:rPr>
          <w:b/>
          <w:bCs/>
        </w:rPr>
        <w:t xml:space="preserve">Q: </w:t>
      </w:r>
      <w:r>
        <w:rPr>
          <w:b/>
          <w:bCs/>
        </w:rPr>
        <w:t xml:space="preserve">Are there governor-limit or schema-usage considerations Rootstock's package introduces (batch jobs, scheduled jobs, object/class counts)?</w:t>
      </w:r>
    </w:p>
    <w:p>
      <w:pPr>
        <w:spacing w:after="120"/>
      </w:pPr>
      <w:r>
        <w:rPr>
          <w:b/>
          <w:bCs/>
          <w:color w:val="2E5E3E"/>
        </w:rPr>
        <w:t xml:space="preserve">A: </w:t>
      </w:r>
      <w:r>
        <w:t xml:space="preserve">Rootstock's packaged objects and classes do not count against org limits since they ship inside the managed package. However, batch and scheduled jobs do require care — in a highly configured org that already runs many scheduled jobs, Rootstock has to ensure its own scheduled/batch jobs don't overrun the org's job queue. This needs to be explicitly validated through UAT in an environment that mirrors USME's actual production configuration and load, not assumed.</w:t>
      </w:r>
    </w:p>
    <w:p>
      <w:pPr>
        <w:spacing w:after="40" w:before="100"/>
      </w:pPr>
      <w:r>
        <w:rPr>
          <w:b/>
          <w:bCs/>
        </w:rPr>
        <w:t xml:space="preserve">Q: </w:t>
      </w:r>
      <w:r>
        <w:rPr>
          <w:b/>
          <w:bCs/>
        </w:rPr>
        <w:t xml:space="preserve">How is Salesforce data storage sized/estimated for USME's expected transaction volume?</w:t>
      </w:r>
    </w:p>
    <w:p>
      <w:pPr>
        <w:spacing w:after="120"/>
      </w:pPr>
      <w:r>
        <w:rPr>
          <w:b/>
          <w:bCs/>
          <w:color w:val="2E5E3E"/>
        </w:rPr>
        <w:t xml:space="preserve">A: </w:t>
      </w:r>
      <w:r>
        <w:t xml:space="preserve">Every Salesforce record is roughly 2KB of data storage. Rootstock's methodology: build a spreadsheet of expected transaction volumes — quotes (and whether the Ascent or standard quote object is used), quote line items, orders, order line items, invoices, and invoice line items — multiply the record counts by 2KB, and that yields the storage requirement for a given period. Retention/archival periods are then layered on top using standard Salesforce archiving principles. Rootstock does not have a ready number for USME yet and will work with the team to build it out; whether this becomes a real issue also depends on how many users USME's org is sized for, and additional storage can always be purchased if needed.</w:t>
      </w:r>
    </w:p>
    <w:p>
      <w:pPr>
        <w:spacing w:after="40" w:before="100"/>
      </w:pPr>
      <w:r>
        <w:rPr>
          <w:b/>
          <w:bCs/>
        </w:rPr>
        <w:t xml:space="preserve">Q: </w:t>
      </w:r>
      <w:r>
        <w:rPr>
          <w:b/>
          <w:bCs/>
        </w:rPr>
        <w:t xml:space="preserve">Are platform events and asynchronous processing supported against Ascent's objects?</w:t>
      </w:r>
    </w:p>
    <w:p>
      <w:pPr>
        <w:spacing w:after="120"/>
      </w:pPr>
      <w:r>
        <w:rPr>
          <w:b/>
          <w:bCs/>
          <w:color w:val="2E5E3E"/>
        </w:rPr>
        <w:t xml:space="preserve">A: </w:t>
      </w:r>
      <w:r>
        <w:t xml:space="preserve">Yes, broadly supported — Rootstock would want more detail on the specific use case, but platform events and async processing work against Ascent's objects the same as any other object.</w:t>
      </w:r>
    </w:p>
    <w:p>
      <w:pPr>
        <w:spacing w:after="40" w:before="100"/>
      </w:pPr>
      <w:r>
        <w:rPr>
          <w:b/>
          <w:bCs/>
        </w:rPr>
        <w:t xml:space="preserve">Q: </w:t>
      </w:r>
      <w:r>
        <w:rPr>
          <w:b/>
          <w:bCs/>
        </w:rPr>
        <w:t xml:space="preserve">Are there known performance issues with Ascent at large data volumes?</w:t>
      </w:r>
    </w:p>
    <w:p>
      <w:pPr>
        <w:spacing w:after="120"/>
      </w:pPr>
      <w:r>
        <w:rPr>
          <w:b/>
          <w:bCs/>
          <w:color w:val="2E5E3E"/>
        </w:rPr>
        <w:t xml:space="preserve">A: </w:t>
      </w:r>
      <w:r>
        <w:t xml:space="preserve">No specific known issues were called out, but large-volume performance needs to be explicitly covered in UAT testing at realistic transaction volume rather than assumed. Rootstock said it has run into and resolved such issues for other customers in the past, and would partner with USME to fix anything found, as a billable engagement if the fix requires package-level changes.</w:t>
      </w:r>
    </w:p>
    <w:p>
      <w:pPr>
        <w:spacing w:after="40" w:before="100"/>
      </w:pPr>
      <w:r>
        <w:rPr>
          <w:b/>
          <w:bCs/>
        </w:rPr>
        <w:t xml:space="preserve">Q: </w:t>
      </w:r>
      <w:r>
        <w:rPr>
          <w:b/>
          <w:bCs/>
        </w:rPr>
        <w:t xml:space="preserve">Is the standard Salesforce security model fully supported, and what about offline capability?</w:t>
      </w:r>
    </w:p>
    <w:p>
      <w:pPr>
        <w:spacing w:after="120"/>
      </w:pPr>
      <w:r>
        <w:rPr>
          <w:b/>
          <w:bCs/>
          <w:color w:val="2E5E3E"/>
        </w:rPr>
        <w:t xml:space="preserve">A: </w:t>
      </w:r>
      <w:r>
        <w:t xml:space="preserve">Security model is fully supported as-is. Offline capability was already covered in a prior session — it remains a function of the underlying Salesforce license/edition, not something Ascent itself provides.</w:t>
      </w:r>
    </w:p>
    <w:p>
      <w:pPr>
        <w:pStyle w:val="Heading1"/>
        <w:spacing w:after="140" w:before="340"/>
      </w:pPr>
      <w:r>
        <w:t xml:space="preserve">8. Key Takeaways for the Decision Document</w:t>
      </w:r>
    </w:p>
    <w:p>
      <w:pPr>
        <w:pStyle w:val="ListParagraph"/>
        <w:numPr>
          <w:ilvl w:val="0"/>
          <w:numId w:val="2"/>
        </w:numPr>
        <w:spacing w:after="60"/>
      </w:pPr>
      <w:r>
        <w:t xml:space="preserve">Two items remain genuinely open pending Rootstock follow-up: the Workato invoice-volume estimate, and RFID bulk-scanning coverage against the specific CG4 tool/documentation — both expected back the next day.</w:t>
      </w:r>
    </w:p>
    <w:p>
      <w:pPr>
        <w:pStyle w:val="ListParagraph"/>
        <w:numPr>
          <w:ilvl w:val="0"/>
          <w:numId w:val="2"/>
        </w:numPr>
        <w:spacing w:after="60"/>
      </w:pPr>
      <w:r>
        <w:t xml:space="preserve">The Quote object is the one real architectural decision point among CRM objects: using Ascent's native Quote is the tightly-integrated, lower-cost-to-implement path (and is what current estimates assume); keeping the standard Salesforce Quote and building an integration to Ascent orders is supported but would be treated as a change request with added cost — this decision should be locked down early since it affects the estimate.</w:t>
      </w:r>
    </w:p>
    <w:p>
      <w:pPr>
        <w:pStyle w:val="ListParagraph"/>
        <w:numPr>
          <w:ilvl w:val="0"/>
          <w:numId w:val="2"/>
        </w:numPr>
        <w:spacing w:after="60"/>
      </w:pPr>
      <w:r>
        <w:t xml:space="preserve">Traceability (lot/serial, patient exposure, recall history), asset availability/duplication prevention, and repair-to-circulation work-order flow all have confirmed native support — a positive signal for the medical-equipment rental use case.</w:t>
      </w:r>
    </w:p>
    <w:p>
      <w:pPr>
        <w:pStyle w:val="ListParagraph"/>
        <w:numPr>
          <w:ilvl w:val="0"/>
          <w:numId w:val="2"/>
        </w:numPr>
        <w:spacing w:after="60"/>
      </w:pPr>
      <w:r>
        <w:t xml:space="preserve">Extensibility is essentially unrestricted (custom apps, fields, relationships, automation) subject to standard Salesforce governor limits; the only hard constraint is that changes requiring modification inside the managed package itself require engaging Rootstock, with cost depending on whether the change is broadly useful (roadmap, possible cost-share) or USME-specific (billable custom work).</w:t>
      </w:r>
    </w:p>
    <w:p>
      <w:pPr>
        <w:pStyle w:val="ListParagraph"/>
        <w:numPr>
          <w:ilvl w:val="0"/>
          <w:numId w:val="2"/>
        </w:numPr>
        <w:spacing w:after="60"/>
      </w:pPr>
      <w:r>
        <w:t xml:space="preserve">Data storage sizing has a clear, repeatable methodology (records × ~2KB, by transaction type) but no numbers yet for USME specifically — this needs to be run once transaction-volume estimates (including the pending Workato figures) are available, and should feed directly into the storage-growth question already flagged as an open architecture item.</w:t>
      </w:r>
    </w:p>
    <w:p>
      <w:pPr>
        <w:pStyle w:val="Heading1"/>
        <w:spacing w:after="140" w:before="340"/>
      </w:pPr>
      <w:r>
        <w:t xml:space="preserve">9. Action Items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gridCol w:w="1500"/>
      </w:tblGrid>
      <w:tr>
        <w:trPr>
          <w:tblHeader/>
        </w:trPr>
        <w:tc>
          <w:tcPr>
            <w:tcW w:type="dxa" w:w="2000"/>
            <w:shd w:fill="D9E2F3" w:color="auto" w:val="clear"/>
            <w:tcMar>
              <w:top w:type="dxa" w:w="80"/>
              <w:left w:type="dxa" w:w="100"/>
              <w:bottom w:type="dxa" w:w="80"/>
              <w:right w:type="dxa" w:w="100"/>
            </w:tcMar>
          </w:tcPr>
          <w:p>
            <w:r>
              <w:rPr>
                <w:b/>
                <w:bCs/>
              </w:rPr>
              <w:t xml:space="preserve">Owner</w:t>
            </w:r>
          </w:p>
        </w:tc>
        <w:tc>
          <w:tcPr>
            <w:tcW w:type="dxa" w:w="6500"/>
            <w:shd w:fill="D9E2F3" w:color="auto" w:val="clear"/>
            <w:tcMar>
              <w:top w:type="dxa" w:w="80"/>
              <w:left w:type="dxa" w:w="100"/>
              <w:bottom w:type="dxa" w:w="80"/>
              <w:right w:type="dxa" w:w="100"/>
            </w:tcMar>
          </w:tcPr>
          <w:p>
            <w:r>
              <w:rPr>
                <w:b/>
                <w:bCs/>
              </w:rPr>
              <w:t xml:space="preserve">Action</w:t>
            </w:r>
          </w:p>
        </w:tc>
        <w:tc>
          <w:tcPr>
            <w:tcW w:type="dxa" w:w="1500"/>
            <w:shd w:fill="D9E2F3" w:color="auto" w:val="clear"/>
            <w:tcMar>
              <w:top w:type="dxa" w:w="80"/>
              <w:left w:type="dxa" w:w="100"/>
              <w:bottom w:type="dxa" w:w="80"/>
              <w:right w:type="dxa" w:w="100"/>
            </w:tcMar>
          </w:tcPr>
          <w:p>
            <w:r>
              <w:rPr>
                <w:b/>
                <w:bCs/>
              </w:rPr>
              <w:t xml:space="preserve">Target</w:t>
            </w:r>
          </w:p>
        </w:tc>
      </w:tr>
      <w:tr>
        <w:tc>
          <w:tcPr>
            <w:tcW w:type="dxa" w:w="2000"/>
            <w:tcMar>
              <w:top w:type="dxa" w:w="80"/>
              <w:left w:type="dxa" w:w="100"/>
              <w:bottom w:type="dxa" w:w="80"/>
              <w:right w:type="dxa" w:w="100"/>
            </w:tcMar>
          </w:tcPr>
          <w:p>
            <w:r>
              <w:rPr>
                <w:b w:val="false"/>
                <w:bCs w:val="false"/>
              </w:rPr>
              <w:t xml:space="preserve">Rootstock</w:t>
            </w:r>
          </w:p>
        </w:tc>
        <w:tc>
          <w:tcPr>
            <w:tcW w:type="dxa" w:w="6500"/>
            <w:tcMar>
              <w:top w:type="dxa" w:w="80"/>
              <w:left w:type="dxa" w:w="100"/>
              <w:bottom w:type="dxa" w:w="80"/>
              <w:right w:type="dxa" w:w="100"/>
            </w:tcMar>
          </w:tcPr>
          <w:p>
            <w:r>
              <w:rPr>
                <w:b w:val="false"/>
                <w:bCs w:val="false"/>
              </w:rPr>
              <w:t xml:space="preserve">Finalize and share the cross-checked Workato invoice event volume estimate.</w:t>
            </w:r>
          </w:p>
        </w:tc>
        <w:tc>
          <w:tcPr>
            <w:tcW w:type="dxa" w:w="1500"/>
            <w:tcMar>
              <w:top w:type="dxa" w:w="80"/>
              <w:left w:type="dxa" w:w="100"/>
              <w:bottom w:type="dxa" w:w="80"/>
              <w:right w:type="dxa" w:w="100"/>
            </w:tcMar>
          </w:tcPr>
          <w:p>
            <w:r>
              <w:rPr>
                <w:b w:val="false"/>
                <w:bCs w:val="false"/>
              </w:rPr>
              <w:t xml:space="preserve">Next day</w:t>
            </w:r>
          </w:p>
        </w:tc>
      </w:tr>
      <w:tr>
        <w:tc>
          <w:tcPr>
            <w:tcW w:type="dxa" w:w="2000"/>
            <w:tcMar>
              <w:top w:type="dxa" w:w="80"/>
              <w:left w:type="dxa" w:w="100"/>
              <w:bottom w:type="dxa" w:w="80"/>
              <w:right w:type="dxa" w:w="100"/>
            </w:tcMar>
          </w:tcPr>
          <w:p>
            <w:r>
              <w:rPr>
                <w:b w:val="false"/>
                <w:bCs w:val="false"/>
              </w:rPr>
              <w:t xml:space="preserve">Rootstock (Brian)</w:t>
            </w:r>
          </w:p>
        </w:tc>
        <w:tc>
          <w:tcPr>
            <w:tcW w:type="dxa" w:w="6500"/>
            <w:tcMar>
              <w:top w:type="dxa" w:w="80"/>
              <w:left w:type="dxa" w:w="100"/>
              <w:bottom w:type="dxa" w:w="80"/>
              <w:right w:type="dxa" w:w="100"/>
            </w:tcMar>
          </w:tcPr>
          <w:p>
            <w:r>
              <w:rPr>
                <w:b w:val="false"/>
                <w:bCs w:val="false"/>
              </w:rPr>
              <w:t xml:space="preserve">Review the CG4 RFID bulk-scanning documentation and confirm whether that specific capability is supported today.</w:t>
            </w:r>
          </w:p>
        </w:tc>
        <w:tc>
          <w:tcPr>
            <w:tcW w:type="dxa" w:w="1500"/>
            <w:tcMar>
              <w:top w:type="dxa" w:w="80"/>
              <w:left w:type="dxa" w:w="100"/>
              <w:bottom w:type="dxa" w:w="80"/>
              <w:right w:type="dxa" w:w="100"/>
            </w:tcMar>
          </w:tcPr>
          <w:p>
            <w:r>
              <w:rPr>
                <w:b w:val="false"/>
                <w:bCs w:val="false"/>
              </w:rPr>
              <w:t xml:space="preserve">Next day</w:t>
            </w:r>
          </w:p>
        </w:tc>
      </w:tr>
      <w:tr>
        <w:tc>
          <w:tcPr>
            <w:tcW w:type="dxa" w:w="2000"/>
            <w:tcMar>
              <w:top w:type="dxa" w:w="80"/>
              <w:left w:type="dxa" w:w="100"/>
              <w:bottom w:type="dxa" w:w="80"/>
              <w:right w:type="dxa" w:w="100"/>
            </w:tcMar>
          </w:tcPr>
          <w:p>
            <w:r>
              <w:rPr>
                <w:b w:val="false"/>
                <w:bCs w:val="false"/>
              </w:rPr>
              <w:t xml:space="preserve">Durvah / USME</w:t>
            </w:r>
          </w:p>
        </w:tc>
        <w:tc>
          <w:tcPr>
            <w:tcW w:type="dxa" w:w="6500"/>
            <w:tcMar>
              <w:top w:type="dxa" w:w="80"/>
              <w:left w:type="dxa" w:w="100"/>
              <w:bottom w:type="dxa" w:w="80"/>
              <w:right w:type="dxa" w:w="100"/>
            </w:tcMar>
          </w:tcPr>
          <w:p>
            <w:r>
              <w:rPr>
                <w:b w:val="false"/>
                <w:bCs w:val="false"/>
              </w:rPr>
              <w:t xml:space="preserve">Decide on the Quote object direction (Ascent native vs. standard Salesforce Quote with integration) given its direct cost/scope impact, and feed that decision into the estimate and decision document.</w:t>
            </w:r>
          </w:p>
        </w:tc>
        <w:tc>
          <w:tcPr>
            <w:tcW w:type="dxa" w:w="1500"/>
            <w:tcMar>
              <w:top w:type="dxa" w:w="80"/>
              <w:left w:type="dxa" w:w="100"/>
              <w:bottom w:type="dxa" w:w="80"/>
              <w:right w:type="dxa" w:w="100"/>
            </w:tcMar>
          </w:tcPr>
          <w:p>
            <w:r>
              <w:rPr>
                <w:b w:val="false"/>
                <w:bCs w:val="false"/>
              </w:rPr>
              <w:t xml:space="preserve">Before finalizing estimate</w:t>
            </w:r>
          </w:p>
        </w:tc>
      </w:tr>
      <w:tr>
        <w:tc>
          <w:tcPr>
            <w:tcW w:type="dxa" w:w="2000"/>
            <w:tcMar>
              <w:top w:type="dxa" w:w="80"/>
              <w:left w:type="dxa" w:w="100"/>
              <w:bottom w:type="dxa" w:w="80"/>
              <w:right w:type="dxa" w:w="100"/>
            </w:tcMar>
          </w:tcPr>
          <w:p>
            <w:r>
              <w:rPr>
                <w:b w:val="false"/>
                <w:bCs w:val="false"/>
              </w:rPr>
              <w:t xml:space="preserve">Rootstock + Durvah</w:t>
            </w:r>
          </w:p>
        </w:tc>
        <w:tc>
          <w:tcPr>
            <w:tcW w:type="dxa" w:w="6500"/>
            <w:tcMar>
              <w:top w:type="dxa" w:w="80"/>
              <w:left w:type="dxa" w:w="100"/>
              <w:bottom w:type="dxa" w:w="80"/>
              <w:right w:type="dxa" w:w="100"/>
            </w:tcMar>
          </w:tcPr>
          <w:p>
            <w:r>
              <w:rPr>
                <w:b w:val="false"/>
                <w:bCs w:val="false"/>
              </w:rPr>
              <w:t xml:space="preserve">Once transaction-volume figures (including Workato invoice volume) are available, run the data storage sizing exercise (records × ~2KB by transaction type) for USME.</w:t>
            </w:r>
          </w:p>
        </w:tc>
        <w:tc>
          <w:tcPr>
            <w:tcW w:type="dxa" w:w="1500"/>
            <w:tcMar>
              <w:top w:type="dxa" w:w="80"/>
              <w:left w:type="dxa" w:w="100"/>
              <w:bottom w:type="dxa" w:w="80"/>
              <w:right w:type="dxa" w:w="100"/>
            </w:tcMar>
          </w:tcPr>
          <w:p>
            <w:r>
              <w:rPr>
                <w:b w:val="false"/>
                <w:bCs w:val="false"/>
              </w:rPr>
              <w:t xml:space="preserve">After volume estimates land</w:t>
            </w:r>
          </w:p>
        </w:tc>
      </w:tr>
      <w:tr>
        <w:tc>
          <w:tcPr>
            <w:tcW w:type="dxa" w:w="2000"/>
            <w:tcMar>
              <w:top w:type="dxa" w:w="80"/>
              <w:left w:type="dxa" w:w="100"/>
              <w:bottom w:type="dxa" w:w="80"/>
              <w:right w:type="dxa" w:w="100"/>
            </w:tcMar>
          </w:tcPr>
          <w:p>
            <w:r>
              <w:rPr>
                <w:b w:val="false"/>
                <w:bCs w:val="false"/>
              </w:rPr>
              <w:t xml:space="preserve">Durvah team</w:t>
            </w:r>
          </w:p>
        </w:tc>
        <w:tc>
          <w:tcPr>
            <w:tcW w:type="dxa" w:w="6500"/>
            <w:tcMar>
              <w:top w:type="dxa" w:w="80"/>
              <w:left w:type="dxa" w:w="100"/>
              <w:bottom w:type="dxa" w:w="80"/>
              <w:right w:type="dxa" w:w="100"/>
            </w:tcMar>
          </w:tcPr>
          <w:p>
            <w:r>
              <w:rPr>
                <w:b w:val="false"/>
                <w:bCs w:val="false"/>
              </w:rPr>
              <w:t xml:space="preserve">Fold this session's findings into the consolidated decision-making document ahead of Friday's demo.</w:t>
            </w:r>
          </w:p>
        </w:tc>
        <w:tc>
          <w:tcPr>
            <w:tcW w:type="dxa" w:w="1500"/>
            <w:tcMar>
              <w:top w:type="dxa" w:w="80"/>
              <w:left w:type="dxa" w:w="100"/>
              <w:bottom w:type="dxa" w:w="80"/>
              <w:right w:type="dxa" w:w="100"/>
            </w:tcMar>
          </w:tcPr>
          <w:p>
            <w:r>
              <w:rPr>
                <w:b w:val="false"/>
                <w:bCs w:val="false"/>
              </w:rPr>
              <w:t xml:space="preserve">Before Friday</w:t>
            </w:r>
          </w:p>
        </w:tc>
      </w:tr>
    </w:tbl>
    <w:p>
      <w:pPr>
        <w:pStyle w:val="Heading1"/>
        <w:spacing w:after="140" w:before="340"/>
      </w:pPr>
      <w:r>
        <w:t xml:space="preserve">10. Next Session</w:t>
      </w:r>
    </w:p>
    <w:p>
      <w:pPr>
        <w:spacing w:after="100"/>
      </w:pPr>
      <w:r>
        <w:t xml:space="preserve">Full Rootstock (Ascent) product demo on Friday — the final working session in this series; remaining detail on RFID, repair/circulation workflow, and any residual questions to be validated live during the demo rather than through further pre-demo Q&amp;A.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2026-08-26T16:39:07.006Z</dcterms:created>
  <dcterms:modified xsi:type="dcterms:W3CDTF">2026-08-26T16:39:07.031Z</dcterms:modified>
</cp:coreProperties>
</file>

<file path=docProps/custom.xml><?xml version="1.0" encoding="utf-8"?>
<Properties xmlns="http://schemas.openxmlformats.org/officeDocument/2006/custom-properties" xmlns:vt="http://schemas.openxmlformats.org/officeDocument/2006/docPropsVTypes"/>
</file>