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pStyle w:val="Title"/>
        <w:jc w:val="left"/>
      </w:pPr>
      <w:r>
        <w:t>US Med-Equip</w:t>
        <w:br/>
        <w:t>Equipment Lifecycle &amp; Workflow Catalog</w:t>
      </w:r>
    </w:p>
    <w:p>
      <w:pPr>
        <w:pStyle w:val="Subtitle"/>
      </w:pPr>
      <w:r>
        <w:t>Rental, Service, Asset Management and CMMS Requirements Framework</w:t>
      </w:r>
    </w:p>
    <w:p>
      <w:pPr>
        <w:spacing w:before="360"/>
      </w:pPr>
      <w:r>
        <w:rPr>
          <w:b/>
        </w:rPr>
        <w:t>Purpose</w:t>
      </w:r>
    </w:p>
    <w:p>
      <w:r>
        <w:t>Define the complete set of equipment workflows that should be standardized, optimized, documented and tested when evaluating rental management, CMMS/EAM and field service software.</w:t>
      </w:r>
    </w:p>
    <w:p>
      <w:pPr>
        <w:spacing w:before="440"/>
      </w:pPr>
      <w:r>
        <w:rPr>
          <w:color w:val="5B6B78"/>
          <w:sz w:val="21"/>
        </w:rPr>
        <w:t>Prepared for US Med-Equip</w:t>
        <w:br/>
        <w:t>August 11, 2026</w:t>
      </w:r>
    </w:p>
    <w:p>
      <w:r>
        <w:br w:type="page"/>
      </w:r>
    </w:p>
    <w:p>
      <w:pPr>
        <w:pStyle w:val="Heading1"/>
      </w:pPr>
      <w:r>
        <w:t>1. Executive Summary</w:t>
      </w:r>
    </w:p>
    <w:p>
      <w:r>
        <w:t>US Med-Equip operates an equipment lifecycle that extends well beyond delivery, pickup, preventive maintenance and repair. A complete operating model must account for the physical movement of equipment, technical service, quality release, regulatory events, inventory control, asset lifecycle events and the commercial transactions that begin and end a rental.</w:t>
      </w:r>
    </w:p>
    <w:p>
      <w:r>
        <w:t>The recommended framework organizes these activities into eleven workflow domains and separates three concepts that are often incorrectly blended together in software implementations:</w:t>
      </w:r>
    </w:p>
    <w:p>
      <w:pPr>
        <w:pStyle w:val="ListBullet"/>
        <w:spacing w:after="40"/>
      </w:pPr>
      <w:r>
        <w:t>Asset status - where the asset is in its operational lifecycle.</w:t>
      </w:r>
    </w:p>
    <w:p>
      <w:pPr>
        <w:pStyle w:val="ListBullet"/>
        <w:spacing w:after="40"/>
      </w:pPr>
      <w:r>
        <w:t>Workflow or work order - what activity is being performed on or with the asset.</w:t>
      </w:r>
    </w:p>
    <w:p>
      <w:pPr>
        <w:pStyle w:val="ListBullet"/>
        <w:spacing w:after="40"/>
      </w:pPr>
      <w:r>
        <w:t>Commercial/custody status - who is responsible for the asset and whether the rental or service obligation is active.</w:t>
      </w:r>
    </w:p>
    <w:p>
      <w:pPr>
        <w:pStyle w:val="Callout"/>
      </w:pPr>
      <w:r>
        <w:t>Recommended lifecycle backbone:  Acquire -&gt; Commission -&gt; Store -&gt; Reserve -&gt; Deploy -&gt; Rent/Use -&gt; Service -&gt; Recover -&gt; Reprocess -&gt; Ready -&gt; Redistribute -&gt; Retire</w:t>
      </w:r>
    </w:p>
    <w:p>
      <w:pPr>
        <w:pStyle w:val="Heading2"/>
      </w:pPr>
      <w:r>
        <w:t>Key Gaps to Explicitly Include</w:t>
      </w:r>
    </w:p>
    <w:p>
      <w:pPr>
        <w:pStyle w:val="ListBullet"/>
        <w:spacing w:after="40"/>
      </w:pPr>
      <w:r>
        <w:t>Reservation, allocation and staging before delivery.</w:t>
      </w:r>
    </w:p>
    <w:p>
      <w:pPr>
        <w:pStyle w:val="ListBullet"/>
        <w:spacing w:after="40"/>
      </w:pPr>
      <w:r>
        <w:t>Installation, setup, configuration and commissioning.</w:t>
      </w:r>
    </w:p>
    <w:p>
      <w:pPr>
        <w:pStyle w:val="ListBullet"/>
        <w:spacing w:after="40"/>
      </w:pPr>
      <w:r>
        <w:t>Rental commencement and rental termination as system events separate from physical delivery and pickup.</w:t>
      </w:r>
    </w:p>
    <w:p>
      <w:pPr>
        <w:pStyle w:val="ListBullet"/>
        <w:spacing w:after="40"/>
      </w:pPr>
      <w:r>
        <w:t>Failed pickup, missing-asset investigation and asset recovery.</w:t>
      </w:r>
    </w:p>
    <w:p>
      <w:pPr>
        <w:pStyle w:val="ListBullet"/>
        <w:spacing w:after="40"/>
      </w:pPr>
      <w:r>
        <w:t>Quarantine, quality hold and formal release to patient-ready inventory.</w:t>
      </w:r>
    </w:p>
    <w:p>
      <w:pPr>
        <w:pStyle w:val="ListBullet"/>
        <w:spacing w:after="40"/>
      </w:pPr>
      <w:r>
        <w:t>Recall, field corrective action and manufacturer service bulletin management.</w:t>
      </w:r>
    </w:p>
    <w:p>
      <w:pPr>
        <w:pStyle w:val="ListBullet"/>
        <w:spacing w:after="40"/>
      </w:pPr>
      <w:r>
        <w:t>Calibration and safety inspection where required independently of PM.</w:t>
      </w:r>
    </w:p>
    <w:p>
      <w:pPr>
        <w:pStyle w:val="ListBullet"/>
        <w:spacing w:after="40"/>
      </w:pPr>
      <w:r>
        <w:t>Vendor/OEM repair and RMA processing.</w:t>
      </w:r>
    </w:p>
    <w:p>
      <w:pPr>
        <w:pStyle w:val="ListBullet"/>
        <w:spacing w:after="40"/>
      </w:pPr>
      <w:r>
        <w:t>Refurbishment or overhaul as a lifecycle-restoration workflow distinct from ordinary repair.</w:t>
      </w:r>
    </w:p>
    <w:p>
      <w:pPr>
        <w:pStyle w:val="ListBullet"/>
        <w:spacing w:after="40"/>
      </w:pPr>
      <w:r>
        <w:t>Incident investigation and asset lockout.</w:t>
      </w:r>
    </w:p>
    <w:p>
      <w:pPr>
        <w:pStyle w:val="ListBullet"/>
        <w:spacing w:after="40"/>
      </w:pPr>
      <w:r>
        <w:t>Customer-owned equipment intake, authorization and return.</w:t>
      </w:r>
    </w:p>
    <w:p>
      <w:pPr>
        <w:pStyle w:val="ListBullet"/>
        <w:spacing w:after="40"/>
      </w:pPr>
      <w:r>
        <w:t>Inventory reconciliation, location correction and lost/stolen asset resolution.</w:t>
      </w:r>
    </w:p>
    <w:p>
      <w:pPr>
        <w:pStyle w:val="Heading1"/>
      </w:pPr>
      <w:r>
        <w:t>2. Design Principles for the Workflow Model</w:t>
      </w:r>
    </w:p>
    <w:p>
      <w:pPr>
        <w:spacing w:after="40"/>
      </w:pPr>
      <w:r>
        <w:rPr>
          <w:b/>
          <w:color w:val="315F91"/>
        </w:rPr>
        <w:t xml:space="preserve">One asset, one history: </w:t>
      </w:r>
      <w:r>
        <w:t>Every rental, transfer, cleaning, OVP, PM, repair, modification, recall action, inventory exception and retirement event should be traceable to the individual serialized asset whenever serialization exists.</w:t>
      </w:r>
    </w:p>
    <w:p>
      <w:pPr>
        <w:spacing w:after="40"/>
      </w:pPr>
      <w:r>
        <w:rPr>
          <w:b/>
          <w:color w:val="315F91"/>
        </w:rPr>
        <w:t xml:space="preserve">Separate status from activity: </w:t>
      </w:r>
      <w:r>
        <w:t>Cleaning, PM and repair are activities. Available, on rent, in service, quarantined and retired are statuses. Software should not require a proliferation of statuses merely to represent work being performed.</w:t>
      </w:r>
    </w:p>
    <w:p>
      <w:pPr>
        <w:spacing w:after="40"/>
      </w:pPr>
      <w:r>
        <w:rPr>
          <w:b/>
          <w:color w:val="315F91"/>
        </w:rPr>
        <w:t xml:space="preserve">Preserve custody and commercial controls: </w:t>
      </w:r>
      <w:r>
        <w:t>Physical custody, billing status and operational status can differ. A rental can be stopped before pickup, an asset can be picked up but still unreconciled, or a customer-owned asset can be in USME custody without ever becoming a USME asset.</w:t>
      </w:r>
    </w:p>
    <w:p>
      <w:pPr>
        <w:spacing w:after="40"/>
      </w:pPr>
      <w:r>
        <w:rPr>
          <w:b/>
          <w:color w:val="315F91"/>
        </w:rPr>
        <w:t xml:space="preserve">Build formal quality gates: </w:t>
      </w:r>
      <w:r>
        <w:t>Patient-ready equipment should require completion of the applicable cleaning, verification, PM/repair and release steps rather than becoming available simply because a work order was closed.</w:t>
      </w:r>
    </w:p>
    <w:p>
      <w:pPr>
        <w:spacing w:after="40"/>
      </w:pPr>
      <w:r>
        <w:rPr>
          <w:b/>
          <w:color w:val="315F91"/>
        </w:rPr>
        <w:t xml:space="preserve">Design for exceptions: </w:t>
      </w:r>
      <w:r>
        <w:t>Failed pickups, missing equipment, failed inspections, parts delays, quarantines, recalls, customer damage and vendor repair are normal operating conditions and should be native workflows rather than manual workarounds.</w:t>
      </w:r>
    </w:p>
    <w:p>
      <w:pPr>
        <w:spacing w:after="40"/>
      </w:pPr>
      <w:r>
        <w:rPr>
          <w:b/>
          <w:color w:val="315F91"/>
        </w:rPr>
        <w:t xml:space="preserve">Use common technical workflows across ownership types: </w:t>
      </w:r>
      <w:r>
        <w:t>PM, repair, calibration, inspection and modification should use the same core technical logic whether the equipment is owned by USME or by the customer; ownership primarily changes custody, authorization, billing and disposition rules.</w:t>
      </w:r>
    </w:p>
    <w:p>
      <w:pPr>
        <w:pStyle w:val="Heading1"/>
      </w:pPr>
      <w:r>
        <w:t>3. Equipment Lifecycle Model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65D"/>
            <w:tcMar>
              <w:top w:w="110" w:type="dxa"/>
              <w:start w:w="120" w:type="dxa"/>
              <w:bottom w:w="110" w:type="dxa"/>
              <w:end w:w="120" w:type="dxa"/>
            </w:tcMar>
            <w:vAlign w:val="center"/>
          </w:tcPr>
          <w:p>
            <w:pPr>
              <w:jc w:val="left"/>
            </w:pPr>
            <w:r>
              <w:rPr>
                <w:b/>
                <w:color w:val="FFFFFF"/>
                <w:sz w:val="19"/>
              </w:rPr>
              <w:t>Lifecycle Stage</w:t>
            </w:r>
          </w:p>
        </w:tc>
        <w:tc>
          <w:tcPr>
            <w:tcW w:type="dxa" w:w="7848"/>
            <w:shd w:fill="17365D"/>
            <w:tcMar>
              <w:top w:w="110" w:type="dxa"/>
              <w:start w:w="120" w:type="dxa"/>
              <w:bottom w:w="110" w:type="dxa"/>
              <w:end w:w="120" w:type="dxa"/>
            </w:tcMar>
            <w:vAlign w:val="center"/>
          </w:tcPr>
          <w:p>
            <w:pPr>
              <w:jc w:val="left"/>
            </w:pPr>
            <w:r>
              <w:rPr>
                <w:b/>
                <w:color w:val="FFFFFF"/>
                <w:sz w:val="19"/>
              </w:rPr>
              <w:t>Definition</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Acquire</w:t>
            </w:r>
          </w:p>
        </w:tc>
        <w:tc>
          <w:tcPr>
            <w:tcW w:type="dxa" w:w="7848"/>
            <w:tcMar>
              <w:top w:w="110" w:type="dxa"/>
              <w:start w:w="120" w:type="dxa"/>
              <w:bottom w:w="110" w:type="dxa"/>
              <w:end w:w="120" w:type="dxa"/>
            </w:tcMar>
            <w:vAlign w:val="center"/>
          </w:tcPr>
          <w:p>
            <w:pPr>
              <w:spacing w:after="0" w:line="240" w:lineRule="auto"/>
            </w:pPr>
            <w:r>
              <w:rPr>
                <w:sz w:val="19"/>
              </w:rPr>
              <w:t>Purchase, receive or otherwise take ownership/control of equipment intended for the rental fleet.</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Commission</w:t>
            </w:r>
          </w:p>
        </w:tc>
        <w:tc>
          <w:tcPr>
            <w:tcW w:type="dxa" w:w="7848"/>
            <w:tcMar>
              <w:top w:w="110" w:type="dxa"/>
              <w:start w:w="120" w:type="dxa"/>
              <w:bottom w:w="110" w:type="dxa"/>
              <w:end w:w="120" w:type="dxa"/>
            </w:tcMar>
            <w:vAlign w:val="center"/>
          </w:tcPr>
          <w:p>
            <w:pPr>
              <w:spacing w:after="0" w:line="240" w:lineRule="auto"/>
            </w:pPr>
            <w:r>
              <w:rPr>
                <w:sz w:val="19"/>
              </w:rPr>
              <w:t>Create the asset master, establish the maintenance baseline, inspect, configure and release the asset for use.</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Store</w:t>
            </w:r>
          </w:p>
        </w:tc>
        <w:tc>
          <w:tcPr>
            <w:tcW w:type="dxa" w:w="7848"/>
            <w:tcMar>
              <w:top w:w="110" w:type="dxa"/>
              <w:start w:w="120" w:type="dxa"/>
              <w:bottom w:w="110" w:type="dxa"/>
              <w:end w:w="120" w:type="dxa"/>
            </w:tcMar>
            <w:vAlign w:val="center"/>
          </w:tcPr>
          <w:p>
            <w:pPr>
              <w:spacing w:after="0" w:line="240" w:lineRule="auto"/>
            </w:pPr>
            <w:r>
              <w:rPr>
                <w:sz w:val="19"/>
              </w:rPr>
              <w:t>Maintain equipment in a known location and condition while available or awaiting work.</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Reserve</w:t>
            </w:r>
          </w:p>
        </w:tc>
        <w:tc>
          <w:tcPr>
            <w:tcW w:type="dxa" w:w="7848"/>
            <w:tcMar>
              <w:top w:w="110" w:type="dxa"/>
              <w:start w:w="120" w:type="dxa"/>
              <w:bottom w:w="110" w:type="dxa"/>
              <w:end w:w="120" w:type="dxa"/>
            </w:tcMar>
            <w:vAlign w:val="center"/>
          </w:tcPr>
          <w:p>
            <w:pPr>
              <w:spacing w:after="0" w:line="240" w:lineRule="auto"/>
            </w:pPr>
            <w:r>
              <w:rPr>
                <w:sz w:val="19"/>
              </w:rPr>
              <w:t>Allocate specific or category-level inventory to known demand.</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Deploy</w:t>
            </w:r>
          </w:p>
        </w:tc>
        <w:tc>
          <w:tcPr>
            <w:tcW w:type="dxa" w:w="7848"/>
            <w:tcMar>
              <w:top w:w="110" w:type="dxa"/>
              <w:start w:w="120" w:type="dxa"/>
              <w:bottom w:w="110" w:type="dxa"/>
              <w:end w:w="120" w:type="dxa"/>
            </w:tcMar>
            <w:vAlign w:val="center"/>
          </w:tcPr>
          <w:p>
            <w:pPr>
              <w:spacing w:after="0" w:line="240" w:lineRule="auto"/>
            </w:pPr>
            <w:r>
              <w:rPr>
                <w:sz w:val="19"/>
              </w:rPr>
              <w:t>Pick, stage, transport, deliver, install and obtain acceptance.</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Rent / Use</w:t>
            </w:r>
          </w:p>
        </w:tc>
        <w:tc>
          <w:tcPr>
            <w:tcW w:type="dxa" w:w="7848"/>
            <w:tcMar>
              <w:top w:w="110" w:type="dxa"/>
              <w:start w:w="120" w:type="dxa"/>
              <w:bottom w:w="110" w:type="dxa"/>
              <w:end w:w="120" w:type="dxa"/>
            </w:tcMar>
            <w:vAlign w:val="center"/>
          </w:tcPr>
          <w:p>
            <w:pPr>
              <w:spacing w:after="0" w:line="240" w:lineRule="auto"/>
            </w:pPr>
            <w:r>
              <w:rPr>
                <w:sz w:val="19"/>
              </w:rPr>
              <w:t>Manage active customer custody, utilization, extensions, field service and exchanges.</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Service</w:t>
            </w:r>
          </w:p>
        </w:tc>
        <w:tc>
          <w:tcPr>
            <w:tcW w:type="dxa" w:w="7848"/>
            <w:tcMar>
              <w:top w:w="110" w:type="dxa"/>
              <w:start w:w="120" w:type="dxa"/>
              <w:bottom w:w="110" w:type="dxa"/>
              <w:end w:w="120" w:type="dxa"/>
            </w:tcMar>
            <w:vAlign w:val="center"/>
          </w:tcPr>
          <w:p>
            <w:pPr>
              <w:spacing w:after="0" w:line="240" w:lineRule="auto"/>
            </w:pPr>
            <w:r>
              <w:rPr>
                <w:sz w:val="19"/>
              </w:rPr>
              <w:t>Perform PM, corrective repair, calibration, upgrades, safety actions or other technical work.</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Recover</w:t>
            </w:r>
          </w:p>
        </w:tc>
        <w:tc>
          <w:tcPr>
            <w:tcW w:type="dxa" w:w="7848"/>
            <w:tcMar>
              <w:top w:w="110" w:type="dxa"/>
              <w:start w:w="120" w:type="dxa"/>
              <w:bottom w:w="110" w:type="dxa"/>
              <w:end w:w="120" w:type="dxa"/>
            </w:tcMar>
            <w:vAlign w:val="center"/>
          </w:tcPr>
          <w:p>
            <w:pPr>
              <w:spacing w:after="0" w:line="240" w:lineRule="auto"/>
            </w:pPr>
            <w:r>
              <w:rPr>
                <w:sz w:val="19"/>
              </w:rPr>
              <w:t>End use, retrieve the asset, resolve failed pickup or missing-equipment conditions, and re-establish USME custody.</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Reprocess</w:t>
            </w:r>
          </w:p>
        </w:tc>
        <w:tc>
          <w:tcPr>
            <w:tcW w:type="dxa" w:w="7848"/>
            <w:tcMar>
              <w:top w:w="110" w:type="dxa"/>
              <w:start w:w="120" w:type="dxa"/>
              <w:bottom w:w="110" w:type="dxa"/>
              <w:end w:w="120" w:type="dxa"/>
            </w:tcMar>
            <w:vAlign w:val="center"/>
          </w:tcPr>
          <w:p>
            <w:pPr>
              <w:spacing w:after="0" w:line="240" w:lineRule="auto"/>
            </w:pPr>
            <w:r>
              <w:rPr>
                <w:sz w:val="19"/>
              </w:rPr>
              <w:t>Clean/decontaminate, inspect, perform OVP and complete required corrective work between patient uses.</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Ready</w:t>
            </w:r>
          </w:p>
        </w:tc>
        <w:tc>
          <w:tcPr>
            <w:tcW w:type="dxa" w:w="7848"/>
            <w:tcMar>
              <w:top w:w="110" w:type="dxa"/>
              <w:start w:w="120" w:type="dxa"/>
              <w:bottom w:w="110" w:type="dxa"/>
              <w:end w:w="120" w:type="dxa"/>
            </w:tcMar>
            <w:vAlign w:val="center"/>
          </w:tcPr>
          <w:p>
            <w:pPr>
              <w:spacing w:after="0" w:line="240" w:lineRule="auto"/>
            </w:pPr>
            <w:r>
              <w:rPr>
                <w:sz w:val="19"/>
              </w:rPr>
              <w:t>Formally release equipment to patient-ready/available inventory.</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Redistribute</w:t>
            </w:r>
          </w:p>
        </w:tc>
        <w:tc>
          <w:tcPr>
            <w:tcW w:type="dxa" w:w="7848"/>
            <w:tcMar>
              <w:top w:w="110" w:type="dxa"/>
              <w:start w:w="120" w:type="dxa"/>
              <w:bottom w:w="110" w:type="dxa"/>
              <w:end w:w="120" w:type="dxa"/>
            </w:tcMar>
            <w:vAlign w:val="center"/>
          </w:tcPr>
          <w:p>
            <w:pPr>
              <w:spacing w:after="0" w:line="240" w:lineRule="auto"/>
            </w:pPr>
            <w:r>
              <w:rPr>
                <w:sz w:val="19"/>
              </w:rPr>
              <w:t>Transfer or reposition equipment within the network to match demand and utilization requirements.</w:t>
            </w:r>
          </w:p>
        </w:tc>
      </w:tr>
      <w:tr>
        <w:trPr>
          <w:cantSplit/>
        </w:trPr>
        <w:tc>
          <w:tcPr>
            <w:tcW w:type="dxa" w:w="2088"/>
            <w:tcMar>
              <w:top w:w="110" w:type="dxa"/>
              <w:start w:w="120" w:type="dxa"/>
              <w:bottom w:w="110" w:type="dxa"/>
              <w:end w:w="120" w:type="dxa"/>
            </w:tcMar>
            <w:vAlign w:val="center"/>
          </w:tcPr>
          <w:p>
            <w:pPr>
              <w:spacing w:after="0" w:line="240" w:lineRule="auto"/>
            </w:pPr>
            <w:r>
              <w:rPr>
                <w:b/>
                <w:sz w:val="19"/>
              </w:rPr>
              <w:t>Retire</w:t>
            </w:r>
          </w:p>
        </w:tc>
        <w:tc>
          <w:tcPr>
            <w:tcW w:type="dxa" w:w="7848"/>
            <w:tcMar>
              <w:top w:w="110" w:type="dxa"/>
              <w:start w:w="120" w:type="dxa"/>
              <w:bottom w:w="110" w:type="dxa"/>
              <w:end w:w="120" w:type="dxa"/>
            </w:tcMar>
            <w:vAlign w:val="center"/>
          </w:tcPr>
          <w:p>
            <w:pPr>
              <w:spacing w:after="0" w:line="240" w:lineRule="auto"/>
            </w:pPr>
            <w:r>
              <w:rPr>
                <w:sz w:val="19"/>
              </w:rPr>
              <w:t>Remove equipment from the active fleet through sale, loss write-off, trade-in, return, scrap or destruction.</w:t>
            </w:r>
          </w:p>
        </w:tc>
      </w:tr>
    </w:tbl>
    <w:p>
      <w:pPr>
        <w:pStyle w:val="Heading1"/>
      </w:pPr>
      <w:r>
        <w:t>4. Master Workflow Catalog</w:t>
      </w:r>
    </w:p>
    <w:p>
      <w:r>
        <w:t>The following catalog is intended to be the master list against which process maps, SOPs and software capabilities are developed. Individual workflows may share common steps or use the same work-order engine, but each should be explicitly supported and testable.</w:t>
      </w:r>
    </w:p>
    <w:p>
      <w:pPr>
        <w:pStyle w:val="Heading2"/>
      </w:pPr>
      <w:r>
        <w:t>4.1 Rental Initiation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Mar>
              <w:top w:w="110" w:type="dxa"/>
              <w:start w:w="120" w:type="dxa"/>
              <w:bottom w:w="110" w:type="dxa"/>
              <w:end w:w="120" w:type="dxa"/>
            </w:tcMar>
            <w:vAlign w:val="center"/>
          </w:tcPr>
          <w:p>
            <w:pPr>
              <w:jc w:val="left"/>
            </w:pPr>
            <w:r>
              <w:rPr>
                <w:b/>
                <w:color w:val="FFFFFF"/>
                <w:sz w:val="19"/>
              </w:rPr>
              <w:t>Workflow</w:t>
            </w:r>
          </w:p>
        </w:tc>
        <w:tc>
          <w:tcPr>
            <w:tcW w:type="dxa" w:w="6984"/>
            <w:shd w:fill="17365D"/>
            <w:tcMar>
              <w:top w:w="110" w:type="dxa"/>
              <w:start w:w="120" w:type="dxa"/>
              <w:bottom w:w="110" w:type="dxa"/>
              <w:end w:w="120" w:type="dxa"/>
            </w:tcMar>
            <w:vAlign w:val="center"/>
          </w:tcPr>
          <w:p>
            <w:pPr>
              <w:jc w:val="left"/>
            </w:pPr>
            <w:r>
              <w:rPr>
                <w:b/>
                <w:color w:val="FFFFFF"/>
                <w:sz w:val="19"/>
              </w:rPr>
              <w:t>Definition / Purpose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Rental request / order</w:t>
            </w:r>
          </w:p>
        </w:tc>
        <w:tc>
          <w:tcPr>
            <w:tcW w:type="dxa" w:w="6984"/>
            <w:tcMar>
              <w:top w:w="110" w:type="dxa"/>
              <w:start w:w="120" w:type="dxa"/>
              <w:bottom w:w="110" w:type="dxa"/>
              <w:end w:w="120" w:type="dxa"/>
            </w:tcMar>
            <w:vAlign w:val="center"/>
          </w:tcPr>
          <w:p>
            <w:pPr>
              <w:spacing w:after="0" w:line="240" w:lineRule="auto"/>
            </w:pPr>
            <w:r>
              <w:rPr>
                <w:sz w:val="19"/>
              </w:rPr>
              <w:t>Capture customer demand, requested equipment category, quantity, delivery location, timing, commercial terms and special requirements.</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Reservation / allocation</w:t>
            </w:r>
          </w:p>
        </w:tc>
        <w:tc>
          <w:tcPr>
            <w:tcW w:type="dxa" w:w="6984"/>
            <w:tcMar>
              <w:top w:w="110" w:type="dxa"/>
              <w:start w:w="120" w:type="dxa"/>
              <w:bottom w:w="110" w:type="dxa"/>
              <w:end w:w="120" w:type="dxa"/>
            </w:tcMar>
            <w:vAlign w:val="center"/>
          </w:tcPr>
          <w:p>
            <w:pPr>
              <w:spacing w:after="0" w:line="240" w:lineRule="auto"/>
            </w:pPr>
            <w:r>
              <w:rPr>
                <w:sz w:val="19"/>
              </w:rPr>
              <w:t>Reserve category-level inventory and, when appropriate, assign a specific serialized asset against the order.</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Pick / stage / load</w:t>
            </w:r>
          </w:p>
        </w:tc>
        <w:tc>
          <w:tcPr>
            <w:tcW w:type="dxa" w:w="6984"/>
            <w:tcMar>
              <w:top w:w="110" w:type="dxa"/>
              <w:start w:w="120" w:type="dxa"/>
              <w:bottom w:w="110" w:type="dxa"/>
              <w:end w:w="120" w:type="dxa"/>
            </w:tcMar>
            <w:vAlign w:val="center"/>
          </w:tcPr>
          <w:p>
            <w:pPr>
              <w:spacing w:after="0" w:line="240" w:lineRule="auto"/>
            </w:pPr>
            <w:r>
              <w:rPr>
                <w:sz w:val="19"/>
              </w:rPr>
              <w:t>Select equipment and accessories, confirm readiness, stage the order and document load/dispatch.</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Delivery</w:t>
            </w:r>
          </w:p>
        </w:tc>
        <w:tc>
          <w:tcPr>
            <w:tcW w:type="dxa" w:w="6984"/>
            <w:tcMar>
              <w:top w:w="110" w:type="dxa"/>
              <w:start w:w="120" w:type="dxa"/>
              <w:bottom w:w="110" w:type="dxa"/>
              <w:end w:w="120" w:type="dxa"/>
            </w:tcMar>
            <w:vAlign w:val="center"/>
          </w:tcPr>
          <w:p>
            <w:pPr>
              <w:spacing w:after="0" w:line="240" w:lineRule="auto"/>
            </w:pPr>
            <w:r>
              <w:rPr>
                <w:sz w:val="19"/>
              </w:rPr>
              <w:t>Transport equipment to the customer and document arrival, equipment identity, date/time and responsible party.</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Installation / setup / configuration</w:t>
            </w:r>
          </w:p>
        </w:tc>
        <w:tc>
          <w:tcPr>
            <w:tcW w:type="dxa" w:w="6984"/>
            <w:tcMar>
              <w:top w:w="110" w:type="dxa"/>
              <w:start w:w="120" w:type="dxa"/>
              <w:bottom w:w="110" w:type="dxa"/>
              <w:end w:w="120" w:type="dxa"/>
            </w:tcMar>
            <w:vAlign w:val="center"/>
          </w:tcPr>
          <w:p>
            <w:pPr>
              <w:spacing w:after="0" w:line="240" w:lineRule="auto"/>
            </w:pPr>
            <w:r>
              <w:rPr>
                <w:sz w:val="19"/>
              </w:rPr>
              <w:t>Assemble, place, configure, connect and functionally prepare the equipment for intended use.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Customer acceptance / proof of delivery</w:t>
            </w:r>
          </w:p>
        </w:tc>
        <w:tc>
          <w:tcPr>
            <w:tcW w:type="dxa" w:w="6984"/>
            <w:tcMar>
              <w:top w:w="110" w:type="dxa"/>
              <w:start w:w="120" w:type="dxa"/>
              <w:bottom w:w="110" w:type="dxa"/>
              <w:end w:w="120" w:type="dxa"/>
            </w:tcMar>
            <w:vAlign w:val="center"/>
          </w:tcPr>
          <w:p>
            <w:pPr>
              <w:spacing w:after="0" w:line="240" w:lineRule="auto"/>
            </w:pPr>
            <w:r>
              <w:rPr>
                <w:sz w:val="19"/>
              </w:rPr>
              <w:t>Document receipt, condition, location and transfer of custody/responsibility.</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Rental commencement / on-rent</w:t>
            </w:r>
          </w:p>
        </w:tc>
        <w:tc>
          <w:tcPr>
            <w:tcW w:type="dxa" w:w="6984"/>
            <w:tcMar>
              <w:top w:w="110" w:type="dxa"/>
              <w:start w:w="120" w:type="dxa"/>
              <w:bottom w:w="110" w:type="dxa"/>
              <w:end w:w="120" w:type="dxa"/>
            </w:tcMar>
            <w:vAlign w:val="center"/>
          </w:tcPr>
          <w:p>
            <w:pPr>
              <w:spacing w:after="0" w:line="240" w:lineRule="auto"/>
            </w:pPr>
            <w:r>
              <w:rPr>
                <w:sz w:val="19"/>
              </w:rPr>
              <w:t>Create the commercial start event for rental responsibility and billing. This should be distinct from the physical delivery transaction.</w:t>
            </w:r>
          </w:p>
        </w:tc>
      </w:tr>
    </w:tbl>
    <w:p>
      <w:pPr>
        <w:pStyle w:val="Heading2"/>
      </w:pPr>
      <w:r>
        <w:t>4.2 Rental-in-Progress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Mar>
              <w:top w:w="110" w:type="dxa"/>
              <w:start w:w="120" w:type="dxa"/>
              <w:bottom w:w="110" w:type="dxa"/>
              <w:end w:w="120" w:type="dxa"/>
            </w:tcMar>
            <w:vAlign w:val="center"/>
          </w:tcPr>
          <w:p>
            <w:pPr>
              <w:jc w:val="left"/>
            </w:pPr>
            <w:r>
              <w:rPr>
                <w:b/>
                <w:color w:val="FFFFFF"/>
                <w:sz w:val="19"/>
              </w:rPr>
              <w:t>Workflow</w:t>
            </w:r>
          </w:p>
        </w:tc>
        <w:tc>
          <w:tcPr>
            <w:tcW w:type="dxa" w:w="6984"/>
            <w:shd w:fill="17365D"/>
            <w:tcMar>
              <w:top w:w="110" w:type="dxa"/>
              <w:start w:w="120" w:type="dxa"/>
              <w:bottom w:w="110" w:type="dxa"/>
              <w:end w:w="120" w:type="dxa"/>
            </w:tcMar>
            <w:vAlign w:val="center"/>
          </w:tcPr>
          <w:p>
            <w:pPr>
              <w:jc w:val="left"/>
            </w:pPr>
            <w:r>
              <w:rPr>
                <w:b/>
                <w:color w:val="FFFFFF"/>
                <w:sz w:val="19"/>
              </w:rPr>
              <w:t>Definition / Purpose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Swap / exchange</w:t>
            </w:r>
          </w:p>
        </w:tc>
        <w:tc>
          <w:tcPr>
            <w:tcW w:type="dxa" w:w="6984"/>
            <w:tcMar>
              <w:top w:w="110" w:type="dxa"/>
              <w:start w:w="120" w:type="dxa"/>
              <w:bottom w:w="110" w:type="dxa"/>
              <w:end w:w="120" w:type="dxa"/>
            </w:tcMar>
            <w:vAlign w:val="center"/>
          </w:tcPr>
          <w:p>
            <w:pPr>
              <w:spacing w:after="0" w:line="240" w:lineRule="auto"/>
            </w:pPr>
            <w:r>
              <w:rPr>
                <w:sz w:val="19"/>
              </w:rPr>
              <w:t>Replace an on-rent asset with another asset while preserving the underlying customer need. Reasons may include failure, PM due, upgrade, change in clinical need or customer request.</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Field repair / corrective service</w:t>
            </w:r>
          </w:p>
        </w:tc>
        <w:tc>
          <w:tcPr>
            <w:tcW w:type="dxa" w:w="6984"/>
            <w:tcMar>
              <w:top w:w="110" w:type="dxa"/>
              <w:start w:w="120" w:type="dxa"/>
              <w:bottom w:w="110" w:type="dxa"/>
              <w:end w:w="120" w:type="dxa"/>
            </w:tcMar>
            <w:vAlign w:val="center"/>
          </w:tcPr>
          <w:p>
            <w:pPr>
              <w:spacing w:after="0" w:line="240" w:lineRule="auto"/>
            </w:pPr>
            <w:r>
              <w:rPr>
                <w:sz w:val="19"/>
              </w:rPr>
              <w:t>Diagnose and repair equipment at the customer site when practical.</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Field preventive maintenance</w:t>
            </w:r>
          </w:p>
        </w:tc>
        <w:tc>
          <w:tcPr>
            <w:tcW w:type="dxa" w:w="6984"/>
            <w:tcMar>
              <w:top w:w="110" w:type="dxa"/>
              <w:start w:w="120" w:type="dxa"/>
              <w:bottom w:w="110" w:type="dxa"/>
              <w:end w:w="120" w:type="dxa"/>
            </w:tcMar>
            <w:vAlign w:val="center"/>
          </w:tcPr>
          <w:p>
            <w:pPr>
              <w:spacing w:after="0" w:line="240" w:lineRule="auto"/>
            </w:pPr>
            <w:r>
              <w:rPr>
                <w:sz w:val="19"/>
              </w:rPr>
              <w:t>Perform scheduled PM at the customer site when permitted and operationally appropriate.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Customer-site relocation</w:t>
            </w:r>
          </w:p>
        </w:tc>
        <w:tc>
          <w:tcPr>
            <w:tcW w:type="dxa" w:w="6984"/>
            <w:tcMar>
              <w:top w:w="110" w:type="dxa"/>
              <w:start w:w="120" w:type="dxa"/>
              <w:bottom w:w="110" w:type="dxa"/>
              <w:end w:w="120" w:type="dxa"/>
            </w:tcMar>
            <w:vAlign w:val="center"/>
          </w:tcPr>
          <w:p>
            <w:pPr>
              <w:spacing w:after="0" w:line="240" w:lineRule="auto"/>
            </w:pPr>
            <w:r>
              <w:rPr>
                <w:sz w:val="19"/>
              </w:rPr>
              <w:t>Move equipment between rooms, departments, buildings or campuses without ending the rental.</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Rental extension / continuation</w:t>
            </w:r>
          </w:p>
        </w:tc>
        <w:tc>
          <w:tcPr>
            <w:tcW w:type="dxa" w:w="6984"/>
            <w:tcMar>
              <w:top w:w="110" w:type="dxa"/>
              <w:start w:w="120" w:type="dxa"/>
              <w:bottom w:w="110" w:type="dxa"/>
              <w:end w:w="120" w:type="dxa"/>
            </w:tcMar>
            <w:vAlign w:val="center"/>
          </w:tcPr>
          <w:p>
            <w:pPr>
              <w:spacing w:after="0" w:line="240" w:lineRule="auto"/>
            </w:pPr>
            <w:r>
              <w:rPr>
                <w:sz w:val="19"/>
              </w:rPr>
              <w:t>Extend or amend the active rental period and associated commercial commitments.</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Temporary loaner / backup</w:t>
            </w:r>
          </w:p>
        </w:tc>
        <w:tc>
          <w:tcPr>
            <w:tcW w:type="dxa" w:w="6984"/>
            <w:tcMar>
              <w:top w:w="110" w:type="dxa"/>
              <w:start w:w="120" w:type="dxa"/>
              <w:bottom w:w="110" w:type="dxa"/>
              <w:end w:w="120" w:type="dxa"/>
            </w:tcMar>
            <w:vAlign w:val="center"/>
          </w:tcPr>
          <w:p>
            <w:pPr>
              <w:spacing w:after="0" w:line="240" w:lineRule="auto"/>
            </w:pPr>
            <w:r>
              <w:rPr>
                <w:sz w:val="19"/>
              </w:rPr>
              <w:t>Place temporary replacement equipment while an asset is being repaired or otherwise unavailable.</w:t>
            </w:r>
          </w:p>
        </w:tc>
      </w:tr>
    </w:tbl>
    <w:p>
      <w:pPr>
        <w:pStyle w:val="Heading2"/>
      </w:pPr>
      <w:r>
        <w:t>4.3 Rental Termination and Recovery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Mar>
              <w:top w:w="110" w:type="dxa"/>
              <w:start w:w="120" w:type="dxa"/>
              <w:bottom w:w="110" w:type="dxa"/>
              <w:end w:w="120" w:type="dxa"/>
            </w:tcMar>
            <w:vAlign w:val="center"/>
          </w:tcPr>
          <w:p>
            <w:pPr>
              <w:jc w:val="left"/>
            </w:pPr>
            <w:r>
              <w:rPr>
                <w:b/>
                <w:color w:val="FFFFFF"/>
                <w:sz w:val="19"/>
              </w:rPr>
              <w:t>Workflow</w:t>
            </w:r>
          </w:p>
        </w:tc>
        <w:tc>
          <w:tcPr>
            <w:tcW w:type="dxa" w:w="6984"/>
            <w:shd w:fill="17365D"/>
            <w:tcMar>
              <w:top w:w="110" w:type="dxa"/>
              <w:start w:w="120" w:type="dxa"/>
              <w:bottom w:w="110" w:type="dxa"/>
              <w:end w:w="120" w:type="dxa"/>
            </w:tcMar>
            <w:vAlign w:val="center"/>
          </w:tcPr>
          <w:p>
            <w:pPr>
              <w:jc w:val="left"/>
            </w:pPr>
            <w:r>
              <w:rPr>
                <w:b/>
                <w:color w:val="FFFFFF"/>
                <w:sz w:val="19"/>
              </w:rPr>
              <w:t>Definition / Purpose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Off-rent request</w:t>
            </w:r>
          </w:p>
        </w:tc>
        <w:tc>
          <w:tcPr>
            <w:tcW w:type="dxa" w:w="6984"/>
            <w:tcMar>
              <w:top w:w="110" w:type="dxa"/>
              <w:start w:w="120" w:type="dxa"/>
              <w:bottom w:w="110" w:type="dxa"/>
              <w:end w:w="120" w:type="dxa"/>
            </w:tcMar>
            <w:vAlign w:val="center"/>
          </w:tcPr>
          <w:p>
            <w:pPr>
              <w:spacing w:after="0" w:line="240" w:lineRule="auto"/>
            </w:pPr>
            <w:r>
              <w:rPr>
                <w:sz w:val="19"/>
              </w:rPr>
              <w:t>Record the customer request or operational event indicating that equipment is no longer required.</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Pickup</w:t>
            </w:r>
          </w:p>
        </w:tc>
        <w:tc>
          <w:tcPr>
            <w:tcW w:type="dxa" w:w="6984"/>
            <w:tcMar>
              <w:top w:w="110" w:type="dxa"/>
              <w:start w:w="120" w:type="dxa"/>
              <w:bottom w:w="110" w:type="dxa"/>
              <w:end w:w="120" w:type="dxa"/>
            </w:tcMar>
            <w:vAlign w:val="center"/>
          </w:tcPr>
          <w:p>
            <w:pPr>
              <w:spacing w:after="0" w:line="240" w:lineRule="auto"/>
            </w:pPr>
            <w:r>
              <w:rPr>
                <w:sz w:val="19"/>
              </w:rPr>
              <w:t>Retrieve equipment from the customer and document custody transfer back to USME.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Failed pickup / equipment not found</w:t>
            </w:r>
          </w:p>
        </w:tc>
        <w:tc>
          <w:tcPr>
            <w:tcW w:type="dxa" w:w="6984"/>
            <w:tcMar>
              <w:top w:w="110" w:type="dxa"/>
              <w:start w:w="120" w:type="dxa"/>
              <w:bottom w:w="110" w:type="dxa"/>
              <w:end w:w="120" w:type="dxa"/>
            </w:tcMar>
            <w:vAlign w:val="center"/>
          </w:tcPr>
          <w:p>
            <w:pPr>
              <w:spacing w:after="0" w:line="240" w:lineRule="auto"/>
            </w:pPr>
            <w:r>
              <w:rPr>
                <w:sz w:val="19"/>
              </w:rPr>
              <w:t>Document unsuccessful recovery attempts and the reason equipment was not retrieved.</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Asset recovery</w:t>
            </w:r>
          </w:p>
        </w:tc>
        <w:tc>
          <w:tcPr>
            <w:tcW w:type="dxa" w:w="6984"/>
            <w:tcMar>
              <w:top w:w="110" w:type="dxa"/>
              <w:start w:w="120" w:type="dxa"/>
              <w:bottom w:w="110" w:type="dxa"/>
              <w:end w:w="120" w:type="dxa"/>
            </w:tcMar>
            <w:vAlign w:val="center"/>
          </w:tcPr>
          <w:p>
            <w:pPr>
              <w:spacing w:after="0" w:line="240" w:lineRule="auto"/>
            </w:pPr>
            <w:r>
              <w:rPr>
                <w:sz w:val="19"/>
              </w:rPr>
              <w:t>Escalated search and recovery process for equipment that cannot be retrieved through the normal pickup workflow.</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Rental close / stop billing</w:t>
            </w:r>
          </w:p>
        </w:tc>
        <w:tc>
          <w:tcPr>
            <w:tcW w:type="dxa" w:w="6984"/>
            <w:tcMar>
              <w:top w:w="110" w:type="dxa"/>
              <w:start w:w="120" w:type="dxa"/>
              <w:bottom w:w="110" w:type="dxa"/>
              <w:end w:w="120" w:type="dxa"/>
            </w:tcMar>
            <w:vAlign w:val="center"/>
          </w:tcPr>
          <w:p>
            <w:pPr>
              <w:spacing w:after="0" w:line="240" w:lineRule="auto"/>
            </w:pPr>
            <w:r>
              <w:rPr>
                <w:sz w:val="19"/>
              </w:rPr>
              <w:t>End commercial rental responsibility. The rules for this event should be explicit and should not depend solely on whether the truck has physically returned the asset.</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Damage / loss assessment</w:t>
            </w:r>
          </w:p>
        </w:tc>
        <w:tc>
          <w:tcPr>
            <w:tcW w:type="dxa" w:w="6984"/>
            <w:tcMar>
              <w:top w:w="110" w:type="dxa"/>
              <w:start w:w="120" w:type="dxa"/>
              <w:bottom w:w="110" w:type="dxa"/>
              <w:end w:w="120" w:type="dxa"/>
            </w:tcMar>
            <w:vAlign w:val="center"/>
          </w:tcPr>
          <w:p>
            <w:pPr>
              <w:spacing w:after="0" w:line="240" w:lineRule="auto"/>
            </w:pPr>
            <w:r>
              <w:rPr>
                <w:sz w:val="19"/>
              </w:rPr>
              <w:t>Determine condition at return, distinguish normal wear from damage, capture missing components and determine customer responsibility where applicable.</w:t>
            </w:r>
          </w:p>
        </w:tc>
      </w:tr>
    </w:tbl>
    <w:p>
      <w:pPr>
        <w:pStyle w:val="Heading2"/>
      </w:pPr>
      <w:r>
        <w:t>4.4 Between-Rental Readiness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Mar>
              <w:top w:w="110" w:type="dxa"/>
              <w:start w:w="120" w:type="dxa"/>
              <w:bottom w:w="110" w:type="dxa"/>
              <w:end w:w="120" w:type="dxa"/>
            </w:tcMar>
            <w:vAlign w:val="center"/>
          </w:tcPr>
          <w:p>
            <w:pPr>
              <w:jc w:val="left"/>
            </w:pPr>
            <w:r>
              <w:rPr>
                <w:b/>
                <w:color w:val="FFFFFF"/>
                <w:sz w:val="19"/>
              </w:rPr>
              <w:t>Workflow</w:t>
            </w:r>
          </w:p>
        </w:tc>
        <w:tc>
          <w:tcPr>
            <w:tcW w:type="dxa" w:w="6984"/>
            <w:shd w:fill="17365D"/>
            <w:tcMar>
              <w:top w:w="110" w:type="dxa"/>
              <w:start w:w="120" w:type="dxa"/>
              <w:bottom w:w="110" w:type="dxa"/>
              <w:end w:w="120" w:type="dxa"/>
            </w:tcMar>
            <w:vAlign w:val="center"/>
          </w:tcPr>
          <w:p>
            <w:pPr>
              <w:jc w:val="left"/>
            </w:pPr>
            <w:r>
              <w:rPr>
                <w:b/>
                <w:color w:val="FFFFFF"/>
                <w:sz w:val="19"/>
              </w:rPr>
              <w:t>Definition / Purpose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Cleaning / decontamination</w:t>
            </w:r>
          </w:p>
        </w:tc>
        <w:tc>
          <w:tcPr>
            <w:tcW w:type="dxa" w:w="6984"/>
            <w:tcMar>
              <w:top w:w="110" w:type="dxa"/>
              <w:start w:w="120" w:type="dxa"/>
              <w:bottom w:w="110" w:type="dxa"/>
              <w:end w:w="120" w:type="dxa"/>
            </w:tcMar>
            <w:vAlign w:val="center"/>
          </w:tcPr>
          <w:p>
            <w:pPr>
              <w:spacing w:after="0" w:line="240" w:lineRule="auto"/>
            </w:pPr>
            <w:r>
              <w:rPr>
                <w:sz w:val="19"/>
              </w:rPr>
              <w:t>Perform the applicable cleaning and disinfection procedure based on equipment type, contamination risk and manufacturer requirements.</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Operational Verification Procedure (OVP)</w:t>
            </w:r>
          </w:p>
        </w:tc>
        <w:tc>
          <w:tcPr>
            <w:tcW w:type="dxa" w:w="6984"/>
            <w:tcMar>
              <w:top w:w="110" w:type="dxa"/>
              <w:start w:w="120" w:type="dxa"/>
              <w:bottom w:w="110" w:type="dxa"/>
              <w:end w:w="120" w:type="dxa"/>
            </w:tcMar>
            <w:vAlign w:val="center"/>
          </w:tcPr>
          <w:p>
            <w:pPr>
              <w:spacing w:after="0" w:line="240" w:lineRule="auto"/>
            </w:pPr>
            <w:r>
              <w:rPr>
                <w:sz w:val="19"/>
              </w:rPr>
              <w:t>Perform the standardized between-rental functional inspection. The OVP should incorporate manufacturer between-patient requirements plus USME-added checks based on field experience and risk.</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Aesthetic / condition assessment</w:t>
            </w:r>
          </w:p>
        </w:tc>
        <w:tc>
          <w:tcPr>
            <w:tcW w:type="dxa" w:w="6984"/>
            <w:tcMar>
              <w:top w:w="110" w:type="dxa"/>
              <w:start w:w="120" w:type="dxa"/>
              <w:bottom w:w="110" w:type="dxa"/>
              <w:end w:w="120" w:type="dxa"/>
            </w:tcMar>
            <w:vAlign w:val="center"/>
          </w:tcPr>
          <w:p>
            <w:pPr>
              <w:spacing w:after="0" w:line="240" w:lineRule="auto"/>
            </w:pPr>
            <w:r>
              <w:rPr>
                <w:sz w:val="19"/>
              </w:rPr>
              <w:t>Assess appearance, physical condition, labels, covers, cables, casters, accessories and other nonfunctional conditions that affect readiness or customer experience.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Quarantine / quality hold</w:t>
            </w:r>
          </w:p>
        </w:tc>
        <w:tc>
          <w:tcPr>
            <w:tcW w:type="dxa" w:w="6984"/>
            <w:tcMar>
              <w:top w:w="110" w:type="dxa"/>
              <w:start w:w="120" w:type="dxa"/>
              <w:bottom w:w="110" w:type="dxa"/>
              <w:end w:w="120" w:type="dxa"/>
            </w:tcMar>
            <w:vAlign w:val="center"/>
          </w:tcPr>
          <w:p>
            <w:pPr>
              <w:spacing w:after="0" w:line="240" w:lineRule="auto"/>
            </w:pPr>
            <w:r>
              <w:rPr>
                <w:sz w:val="19"/>
              </w:rPr>
              <w:t>Prevent deployment when equipment fails a check, is involved in an incident, is affected by a recall or otherwise requires review before use.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Release to patient-ready inventory</w:t>
            </w:r>
          </w:p>
        </w:tc>
        <w:tc>
          <w:tcPr>
            <w:tcW w:type="dxa" w:w="6984"/>
            <w:tcMar>
              <w:top w:w="110" w:type="dxa"/>
              <w:start w:w="120" w:type="dxa"/>
              <w:bottom w:w="110" w:type="dxa"/>
              <w:end w:w="120" w:type="dxa"/>
            </w:tcMar>
            <w:vAlign w:val="center"/>
          </w:tcPr>
          <w:p>
            <w:pPr>
              <w:spacing w:after="0" w:line="240" w:lineRule="auto"/>
            </w:pPr>
            <w:r>
              <w:rPr>
                <w:sz w:val="19"/>
              </w:rPr>
              <w:t>Formal quality gate confirming that all required cleaning, verification and service steps are complete and the asset can be rented again.</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Transportation preparation</w:t>
            </w:r>
          </w:p>
        </w:tc>
        <w:tc>
          <w:tcPr>
            <w:tcW w:type="dxa" w:w="6984"/>
            <w:tcMar>
              <w:top w:w="110" w:type="dxa"/>
              <w:start w:w="120" w:type="dxa"/>
              <w:bottom w:w="110" w:type="dxa"/>
              <w:end w:w="120" w:type="dxa"/>
            </w:tcMar>
            <w:vAlign w:val="center"/>
          </w:tcPr>
          <w:p>
            <w:pPr>
              <w:spacing w:after="0" w:line="240" w:lineRule="auto"/>
            </w:pPr>
            <w:r>
              <w:rPr>
                <w:sz w:val="19"/>
              </w:rPr>
              <w:t>Secure components, batteries, accessories and packaging so the equipment is ready for safe storage and transport.</w:t>
            </w:r>
          </w:p>
        </w:tc>
      </w:tr>
    </w:tbl>
    <w:p>
      <w:pPr>
        <w:pStyle w:val="Heading2"/>
      </w:pPr>
      <w:r>
        <w:t>4.5 Technical Service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Mar>
              <w:top w:w="110" w:type="dxa"/>
              <w:start w:w="120" w:type="dxa"/>
              <w:bottom w:w="110" w:type="dxa"/>
              <w:end w:w="120" w:type="dxa"/>
            </w:tcMar>
            <w:vAlign w:val="center"/>
          </w:tcPr>
          <w:p>
            <w:pPr>
              <w:jc w:val="left"/>
            </w:pPr>
            <w:r>
              <w:rPr>
                <w:b/>
                <w:color w:val="FFFFFF"/>
                <w:sz w:val="19"/>
              </w:rPr>
              <w:t>Workflow</w:t>
            </w:r>
          </w:p>
        </w:tc>
        <w:tc>
          <w:tcPr>
            <w:tcW w:type="dxa" w:w="6984"/>
            <w:shd w:fill="17365D"/>
            <w:tcMar>
              <w:top w:w="110" w:type="dxa"/>
              <w:start w:w="120" w:type="dxa"/>
              <w:bottom w:w="110" w:type="dxa"/>
              <w:end w:w="120" w:type="dxa"/>
            </w:tcMar>
            <w:vAlign w:val="center"/>
          </w:tcPr>
          <w:p>
            <w:pPr>
              <w:jc w:val="left"/>
            </w:pPr>
            <w:r>
              <w:rPr>
                <w:b/>
                <w:color w:val="FFFFFF"/>
                <w:sz w:val="19"/>
              </w:rPr>
              <w:t>Definition / Purpose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Preventive maintenance</w:t>
            </w:r>
          </w:p>
        </w:tc>
        <w:tc>
          <w:tcPr>
            <w:tcW w:type="dxa" w:w="6984"/>
            <w:tcMar>
              <w:top w:w="110" w:type="dxa"/>
              <w:start w:w="120" w:type="dxa"/>
              <w:bottom w:w="110" w:type="dxa"/>
              <w:end w:w="120" w:type="dxa"/>
            </w:tcMar>
            <w:vAlign w:val="center"/>
          </w:tcPr>
          <w:p>
            <w:pPr>
              <w:spacing w:after="0" w:line="240" w:lineRule="auto"/>
            </w:pPr>
            <w:r>
              <w:rPr>
                <w:sz w:val="19"/>
              </w:rPr>
              <w:t>Perform recurring maintenance at the manufacturer-prescribed or recommended interval, including all applicable checks, replacements and documentation.</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Corrective repair</w:t>
            </w:r>
          </w:p>
        </w:tc>
        <w:tc>
          <w:tcPr>
            <w:tcW w:type="dxa" w:w="6984"/>
            <w:tcMar>
              <w:top w:w="110" w:type="dxa"/>
              <w:start w:w="120" w:type="dxa"/>
              <w:bottom w:w="110" w:type="dxa"/>
              <w:end w:w="120" w:type="dxa"/>
            </w:tcMar>
            <w:vAlign w:val="center"/>
          </w:tcPr>
          <w:p>
            <w:pPr>
              <w:spacing w:after="0" w:line="240" w:lineRule="auto"/>
            </w:pPr>
            <w:r>
              <w:rPr>
                <w:sz w:val="19"/>
              </w:rPr>
              <w:t>Restore equipment to required function after a fault, failure or damage condition.</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Diagnosis / troubleshooting</w:t>
            </w:r>
          </w:p>
        </w:tc>
        <w:tc>
          <w:tcPr>
            <w:tcW w:type="dxa" w:w="6984"/>
            <w:tcMar>
              <w:top w:w="110" w:type="dxa"/>
              <w:start w:w="120" w:type="dxa"/>
              <w:bottom w:w="110" w:type="dxa"/>
              <w:end w:w="120" w:type="dxa"/>
            </w:tcMar>
            <w:vAlign w:val="center"/>
          </w:tcPr>
          <w:p>
            <w:pPr>
              <w:spacing w:after="0" w:line="240" w:lineRule="auto"/>
            </w:pPr>
            <w:r>
              <w:rPr>
                <w:sz w:val="19"/>
              </w:rPr>
              <w:t>Capture reported problem, technician findings, root or likely cause, tests performed and repair decision.</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Calibration</w:t>
            </w:r>
          </w:p>
        </w:tc>
        <w:tc>
          <w:tcPr>
            <w:tcW w:type="dxa" w:w="6984"/>
            <w:tcMar>
              <w:top w:w="110" w:type="dxa"/>
              <w:start w:w="120" w:type="dxa"/>
              <w:bottom w:w="110" w:type="dxa"/>
              <w:end w:w="120" w:type="dxa"/>
            </w:tcMar>
            <w:vAlign w:val="center"/>
          </w:tcPr>
          <w:p>
            <w:pPr>
              <w:spacing w:after="0" w:line="240" w:lineRule="auto"/>
            </w:pPr>
            <w:r>
              <w:rPr>
                <w:sz w:val="19"/>
              </w:rPr>
              <w:t>Perform and document required measurement or performance calibration when calibration is distinct from normal PM.</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Safety inspection</w:t>
            </w:r>
          </w:p>
        </w:tc>
        <w:tc>
          <w:tcPr>
            <w:tcW w:type="dxa" w:w="6984"/>
            <w:tcMar>
              <w:top w:w="110" w:type="dxa"/>
              <w:start w:w="120" w:type="dxa"/>
              <w:bottom w:w="110" w:type="dxa"/>
              <w:end w:w="120" w:type="dxa"/>
            </w:tcMar>
            <w:vAlign w:val="center"/>
          </w:tcPr>
          <w:p>
            <w:pPr>
              <w:spacing w:after="0" w:line="240" w:lineRule="auto"/>
            </w:pPr>
            <w:r>
              <w:rPr>
                <w:sz w:val="19"/>
              </w:rPr>
              <w:t>Complete independently required electrical, mechanical or other safety inspection where applicable.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Refurbishment / overhaul</w:t>
            </w:r>
          </w:p>
        </w:tc>
        <w:tc>
          <w:tcPr>
            <w:tcW w:type="dxa" w:w="6984"/>
            <w:tcMar>
              <w:top w:w="110" w:type="dxa"/>
              <w:start w:w="120" w:type="dxa"/>
              <w:bottom w:w="110" w:type="dxa"/>
              <w:end w:w="120" w:type="dxa"/>
            </w:tcMar>
            <w:vAlign w:val="center"/>
          </w:tcPr>
          <w:p>
            <w:pPr>
              <w:spacing w:after="0" w:line="240" w:lineRule="auto"/>
            </w:pPr>
            <w:r>
              <w:rPr>
                <w:sz w:val="19"/>
              </w:rPr>
              <w:t>Restore equipment beyond routine repair through broader cosmetic, mechanical, functional or component replacement work.</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Modification / upgrade</w:t>
            </w:r>
          </w:p>
        </w:tc>
        <w:tc>
          <w:tcPr>
            <w:tcW w:type="dxa" w:w="6984"/>
            <w:tcMar>
              <w:top w:w="110" w:type="dxa"/>
              <w:start w:w="120" w:type="dxa"/>
              <w:bottom w:w="110" w:type="dxa"/>
              <w:end w:w="120" w:type="dxa"/>
            </w:tcMar>
            <w:vAlign w:val="center"/>
          </w:tcPr>
          <w:p>
            <w:pPr>
              <w:spacing w:after="0" w:line="240" w:lineRule="auto"/>
            </w:pPr>
            <w:r>
              <w:rPr>
                <w:sz w:val="19"/>
              </w:rPr>
              <w:t>Make a controlled hardware, firmware, software, accessory, feature or configuration change and preserve the before/after configuration history.</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Vendor/OEM repair / RMA</w:t>
            </w:r>
          </w:p>
        </w:tc>
        <w:tc>
          <w:tcPr>
            <w:tcW w:type="dxa" w:w="6984"/>
            <w:tcMar>
              <w:top w:w="110" w:type="dxa"/>
              <w:start w:w="120" w:type="dxa"/>
              <w:bottom w:w="110" w:type="dxa"/>
              <w:end w:w="120" w:type="dxa"/>
            </w:tcMar>
            <w:vAlign w:val="center"/>
          </w:tcPr>
          <w:p>
            <w:pPr>
              <w:spacing w:after="0" w:line="240" w:lineRule="auto"/>
            </w:pPr>
            <w:r>
              <w:rPr>
                <w:sz w:val="19"/>
              </w:rPr>
              <w:t>Transfer equipment to a third party for service, maintain custody visibility while off-site, document external work and verify condition upon return.</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Parts harvesting / cannibalization</w:t>
            </w:r>
          </w:p>
        </w:tc>
        <w:tc>
          <w:tcPr>
            <w:tcW w:type="dxa" w:w="6984"/>
            <w:tcMar>
              <w:top w:w="110" w:type="dxa"/>
              <w:start w:w="120" w:type="dxa"/>
              <w:bottom w:w="110" w:type="dxa"/>
              <w:end w:w="120" w:type="dxa"/>
            </w:tcMar>
            <w:vAlign w:val="center"/>
          </w:tcPr>
          <w:p>
            <w:pPr>
              <w:spacing w:after="0" w:line="240" w:lineRule="auto"/>
            </w:pPr>
            <w:r>
              <w:rPr>
                <w:sz w:val="19"/>
              </w:rPr>
              <w:t>Controlled removal of usable components from equipment that has been approved for retirement or teardown, with traceability of source and destination where appropriate.</w:t>
            </w:r>
          </w:p>
        </w:tc>
      </w:tr>
    </w:tbl>
    <w:p>
      <w:pPr>
        <w:pStyle w:val="Heading2"/>
      </w:pPr>
      <w:r>
        <w:t>4.6 Quality and Regulatory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Mar>
              <w:top w:w="110" w:type="dxa"/>
              <w:start w:w="120" w:type="dxa"/>
              <w:bottom w:w="110" w:type="dxa"/>
              <w:end w:w="120" w:type="dxa"/>
            </w:tcMar>
            <w:vAlign w:val="center"/>
          </w:tcPr>
          <w:p>
            <w:pPr>
              <w:jc w:val="left"/>
            </w:pPr>
            <w:r>
              <w:rPr>
                <w:b/>
                <w:color w:val="FFFFFF"/>
                <w:sz w:val="19"/>
              </w:rPr>
              <w:t>Workflow</w:t>
            </w:r>
          </w:p>
        </w:tc>
        <w:tc>
          <w:tcPr>
            <w:tcW w:type="dxa" w:w="6984"/>
            <w:shd w:fill="17365D"/>
            <w:tcMar>
              <w:top w:w="110" w:type="dxa"/>
              <w:start w:w="120" w:type="dxa"/>
              <w:bottom w:w="110" w:type="dxa"/>
              <w:end w:w="120" w:type="dxa"/>
            </w:tcMar>
            <w:vAlign w:val="center"/>
          </w:tcPr>
          <w:p>
            <w:pPr>
              <w:jc w:val="left"/>
            </w:pPr>
            <w:r>
              <w:rPr>
                <w:b/>
                <w:color w:val="FFFFFF"/>
                <w:sz w:val="19"/>
              </w:rPr>
              <w:t>Definition / Purpose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Recall / field corrective action</w:t>
            </w:r>
          </w:p>
        </w:tc>
        <w:tc>
          <w:tcPr>
            <w:tcW w:type="dxa" w:w="6984"/>
            <w:tcMar>
              <w:top w:w="110" w:type="dxa"/>
              <w:start w:w="120" w:type="dxa"/>
              <w:bottom w:w="110" w:type="dxa"/>
              <w:end w:w="120" w:type="dxa"/>
            </w:tcMar>
            <w:vAlign w:val="center"/>
          </w:tcPr>
          <w:p>
            <w:pPr>
              <w:spacing w:after="0" w:line="240" w:lineRule="auto"/>
            </w:pPr>
            <w:r>
              <w:rPr>
                <w:sz w:val="19"/>
              </w:rPr>
              <w:t>Identify affected assets by model/serial or other criteria, locate them, quarantine as required, complete remediation, document evidence and formally release.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Manufacturer service bulletin / safety notice</w:t>
            </w:r>
          </w:p>
        </w:tc>
        <w:tc>
          <w:tcPr>
            <w:tcW w:type="dxa" w:w="6984"/>
            <w:tcMar>
              <w:top w:w="110" w:type="dxa"/>
              <w:start w:w="120" w:type="dxa"/>
              <w:bottom w:w="110" w:type="dxa"/>
              <w:end w:w="120" w:type="dxa"/>
            </w:tcMar>
            <w:vAlign w:val="center"/>
          </w:tcPr>
          <w:p>
            <w:pPr>
              <w:spacing w:after="0" w:line="240" w:lineRule="auto"/>
            </w:pPr>
            <w:r>
              <w:rPr>
                <w:sz w:val="19"/>
              </w:rPr>
              <w:t>Evaluate non-recall manufacturer instructions, determine applicability, schedule required work and preserve completion evidence.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Incident / adverse-event investigation</w:t>
            </w:r>
          </w:p>
        </w:tc>
        <w:tc>
          <w:tcPr>
            <w:tcW w:type="dxa" w:w="6984"/>
            <w:tcMar>
              <w:top w:w="110" w:type="dxa"/>
              <w:start w:w="120" w:type="dxa"/>
              <w:bottom w:w="110" w:type="dxa"/>
              <w:end w:w="120" w:type="dxa"/>
            </w:tcMar>
            <w:vAlign w:val="center"/>
          </w:tcPr>
          <w:p>
            <w:pPr>
              <w:spacing w:after="0" w:line="240" w:lineRule="auto"/>
            </w:pPr>
            <w:r>
              <w:rPr>
                <w:sz w:val="19"/>
              </w:rPr>
              <w:t>Immediately lock affected equipment from use, preserve condition and records, document investigation and disposition, and release only after appropriate authorization.</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Cleaning failure / contamination event</w:t>
            </w:r>
          </w:p>
        </w:tc>
        <w:tc>
          <w:tcPr>
            <w:tcW w:type="dxa" w:w="6984"/>
            <w:tcMar>
              <w:top w:w="110" w:type="dxa"/>
              <w:start w:w="120" w:type="dxa"/>
              <w:bottom w:w="110" w:type="dxa"/>
              <w:end w:w="120" w:type="dxa"/>
            </w:tcMar>
            <w:vAlign w:val="center"/>
          </w:tcPr>
          <w:p>
            <w:pPr>
              <w:spacing w:after="0" w:line="240" w:lineRule="auto"/>
            </w:pPr>
            <w:r>
              <w:rPr>
                <w:sz w:val="19"/>
              </w:rPr>
              <w:t>Escalate equipment when routine reprocessing is inadequate or a contamination concern requires additional handling.</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Compliance documentation / certification</w:t>
            </w:r>
          </w:p>
        </w:tc>
        <w:tc>
          <w:tcPr>
            <w:tcW w:type="dxa" w:w="6984"/>
            <w:tcMar>
              <w:top w:w="110" w:type="dxa"/>
              <w:start w:w="120" w:type="dxa"/>
              <w:bottom w:w="110" w:type="dxa"/>
              <w:end w:w="120" w:type="dxa"/>
            </w:tcMar>
            <w:vAlign w:val="center"/>
          </w:tcPr>
          <w:p>
            <w:pPr>
              <w:spacing w:after="0" w:line="240" w:lineRule="auto"/>
            </w:pPr>
            <w:r>
              <w:rPr>
                <w:sz w:val="19"/>
              </w:rPr>
              <w:t>Produce and retain service history, PM evidence, inspection results, certificates and other documentation required for customer, accreditation or regulatory needs.</w:t>
            </w:r>
          </w:p>
        </w:tc>
      </w:tr>
    </w:tbl>
    <w:p>
      <w:pPr>
        <w:pStyle w:val="Heading2"/>
      </w:pPr>
      <w:r>
        <w:t>4.7 Internal Logistics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Mar>
              <w:top w:w="110" w:type="dxa"/>
              <w:start w:w="120" w:type="dxa"/>
              <w:bottom w:w="110" w:type="dxa"/>
              <w:end w:w="120" w:type="dxa"/>
            </w:tcMar>
            <w:vAlign w:val="center"/>
          </w:tcPr>
          <w:p>
            <w:pPr>
              <w:jc w:val="left"/>
            </w:pPr>
            <w:r>
              <w:rPr>
                <w:b/>
                <w:color w:val="FFFFFF"/>
                <w:sz w:val="19"/>
              </w:rPr>
              <w:t>Workflow</w:t>
            </w:r>
          </w:p>
        </w:tc>
        <w:tc>
          <w:tcPr>
            <w:tcW w:type="dxa" w:w="6984"/>
            <w:shd w:fill="17365D"/>
            <w:tcMar>
              <w:top w:w="110" w:type="dxa"/>
              <w:start w:w="120" w:type="dxa"/>
              <w:bottom w:w="110" w:type="dxa"/>
              <w:end w:w="120" w:type="dxa"/>
            </w:tcMar>
            <w:vAlign w:val="center"/>
          </w:tcPr>
          <w:p>
            <w:pPr>
              <w:jc w:val="left"/>
            </w:pPr>
            <w:r>
              <w:rPr>
                <w:b/>
                <w:color w:val="FFFFFF"/>
                <w:sz w:val="19"/>
              </w:rPr>
              <w:t>Definition / Purpose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Branch-to-branch transfer</w:t>
            </w:r>
          </w:p>
        </w:tc>
        <w:tc>
          <w:tcPr>
            <w:tcW w:type="dxa" w:w="6984"/>
            <w:tcMar>
              <w:top w:w="110" w:type="dxa"/>
              <w:start w:w="120" w:type="dxa"/>
              <w:bottom w:w="110" w:type="dxa"/>
              <w:end w:w="120" w:type="dxa"/>
            </w:tcMar>
            <w:vAlign w:val="center"/>
          </w:tcPr>
          <w:p>
            <w:pPr>
              <w:spacing w:after="0" w:line="240" w:lineRule="auto"/>
            </w:pPr>
            <w:r>
              <w:rPr>
                <w:sz w:val="19"/>
              </w:rPr>
              <w:t>Move serialized equipment between branches while maintaining origin, in-transit and destination custody.</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Warehouse / location transfer</w:t>
            </w:r>
          </w:p>
        </w:tc>
        <w:tc>
          <w:tcPr>
            <w:tcW w:type="dxa" w:w="6984"/>
            <w:tcMar>
              <w:top w:w="110" w:type="dxa"/>
              <w:start w:w="120" w:type="dxa"/>
              <w:bottom w:w="110" w:type="dxa"/>
              <w:end w:w="120" w:type="dxa"/>
            </w:tcMar>
            <w:vAlign w:val="center"/>
          </w:tcPr>
          <w:p>
            <w:pPr>
              <w:spacing w:after="0" w:line="240" w:lineRule="auto"/>
            </w:pPr>
            <w:r>
              <w:rPr>
                <w:sz w:val="19"/>
              </w:rPr>
              <w:t>Move equipment between internal warehouses, cages, departments or other controlled locations.</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Transfer receipt / reconciliation</w:t>
            </w:r>
          </w:p>
        </w:tc>
        <w:tc>
          <w:tcPr>
            <w:tcW w:type="dxa" w:w="6984"/>
            <w:tcMar>
              <w:top w:w="110" w:type="dxa"/>
              <w:start w:w="120" w:type="dxa"/>
              <w:bottom w:w="110" w:type="dxa"/>
              <w:end w:w="120" w:type="dxa"/>
            </w:tcMar>
            <w:vAlign w:val="center"/>
          </w:tcPr>
          <w:p>
            <w:pPr>
              <w:spacing w:after="0" w:line="240" w:lineRule="auto"/>
            </w:pPr>
            <w:r>
              <w:rPr>
                <w:sz w:val="19"/>
              </w:rPr>
              <w:t>Require the receiving location to confirm serial numbers, quantities, condition and exceptions.</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Asset repositioning / redistribution</w:t>
            </w:r>
          </w:p>
        </w:tc>
        <w:tc>
          <w:tcPr>
            <w:tcW w:type="dxa" w:w="6984"/>
            <w:tcMar>
              <w:top w:w="110" w:type="dxa"/>
              <w:start w:w="120" w:type="dxa"/>
              <w:bottom w:w="110" w:type="dxa"/>
              <w:end w:w="120" w:type="dxa"/>
            </w:tcMar>
            <w:vAlign w:val="center"/>
          </w:tcPr>
          <w:p>
            <w:pPr>
              <w:spacing w:after="0" w:line="240" w:lineRule="auto"/>
            </w:pPr>
            <w:r>
              <w:rPr>
                <w:sz w:val="19"/>
              </w:rPr>
              <w:t>Move equipment based on demand, utilization, readiness, excess inventory or strategic capacity planning.</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Freight shipment / receipt</w:t>
            </w:r>
          </w:p>
        </w:tc>
        <w:tc>
          <w:tcPr>
            <w:tcW w:type="dxa" w:w="6984"/>
            <w:tcMar>
              <w:top w:w="110" w:type="dxa"/>
              <w:start w:w="120" w:type="dxa"/>
              <w:bottom w:w="110" w:type="dxa"/>
              <w:end w:w="120" w:type="dxa"/>
            </w:tcMar>
            <w:vAlign w:val="center"/>
          </w:tcPr>
          <w:p>
            <w:pPr>
              <w:spacing w:after="0" w:line="240" w:lineRule="auto"/>
            </w:pPr>
            <w:r>
              <w:rPr>
                <w:sz w:val="19"/>
              </w:rPr>
              <w:t>Manage parcel, LTL or third-party freight movements separately from company-vehicle movements when shipping controls differ.</w:t>
            </w:r>
          </w:p>
        </w:tc>
      </w:tr>
    </w:tbl>
    <w:p>
      <w:pPr>
        <w:pStyle w:val="Heading2"/>
      </w:pPr>
      <w:r>
        <w:t>4.8 Asset Introduction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Mar>
              <w:top w:w="110" w:type="dxa"/>
              <w:start w:w="120" w:type="dxa"/>
              <w:bottom w:w="110" w:type="dxa"/>
              <w:end w:w="120" w:type="dxa"/>
            </w:tcMar>
            <w:vAlign w:val="center"/>
          </w:tcPr>
          <w:p>
            <w:pPr>
              <w:jc w:val="left"/>
            </w:pPr>
            <w:r>
              <w:rPr>
                <w:b/>
                <w:color w:val="FFFFFF"/>
                <w:sz w:val="19"/>
              </w:rPr>
              <w:t>Workflow</w:t>
            </w:r>
          </w:p>
        </w:tc>
        <w:tc>
          <w:tcPr>
            <w:tcW w:type="dxa" w:w="6984"/>
            <w:shd w:fill="17365D"/>
            <w:tcMar>
              <w:top w:w="110" w:type="dxa"/>
              <w:start w:w="120" w:type="dxa"/>
              <w:bottom w:w="110" w:type="dxa"/>
              <w:end w:w="120" w:type="dxa"/>
            </w:tcMar>
            <w:vAlign w:val="center"/>
          </w:tcPr>
          <w:p>
            <w:pPr>
              <w:jc w:val="left"/>
            </w:pPr>
            <w:r>
              <w:rPr>
                <w:b/>
                <w:color w:val="FFFFFF"/>
                <w:sz w:val="19"/>
              </w:rPr>
              <w:t>Definition / Purpose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Purchase / acquisition</w:t>
            </w:r>
          </w:p>
        </w:tc>
        <w:tc>
          <w:tcPr>
            <w:tcW w:type="dxa" w:w="6984"/>
            <w:tcMar>
              <w:top w:w="110" w:type="dxa"/>
              <w:start w:w="120" w:type="dxa"/>
              <w:bottom w:w="110" w:type="dxa"/>
              <w:end w:w="120" w:type="dxa"/>
            </w:tcMar>
            <w:vAlign w:val="center"/>
          </w:tcPr>
          <w:p>
            <w:pPr>
              <w:spacing w:after="0" w:line="240" w:lineRule="auto"/>
            </w:pPr>
            <w:r>
              <w:rPr>
                <w:sz w:val="19"/>
              </w:rPr>
              <w:t>Create or associate the purchase transaction that brings equipment into the fleet.</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Receiving inspection</w:t>
            </w:r>
          </w:p>
        </w:tc>
        <w:tc>
          <w:tcPr>
            <w:tcW w:type="dxa" w:w="6984"/>
            <w:tcMar>
              <w:top w:w="110" w:type="dxa"/>
              <w:start w:w="120" w:type="dxa"/>
              <w:bottom w:w="110" w:type="dxa"/>
              <w:end w:w="120" w:type="dxa"/>
            </w:tcMar>
            <w:vAlign w:val="center"/>
          </w:tcPr>
          <w:p>
            <w:pPr>
              <w:spacing w:after="0" w:line="240" w:lineRule="auto"/>
            </w:pPr>
            <w:r>
              <w:rPr>
                <w:sz w:val="19"/>
              </w:rPr>
              <w:t>Verify model, serial number, quantity, condition, accessories and shipping discrepancies on receipt.</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Asset master creation</w:t>
            </w:r>
          </w:p>
        </w:tc>
        <w:tc>
          <w:tcPr>
            <w:tcW w:type="dxa" w:w="6984"/>
            <w:tcMar>
              <w:top w:w="110" w:type="dxa"/>
              <w:start w:w="120" w:type="dxa"/>
              <w:bottom w:w="110" w:type="dxa"/>
              <w:end w:w="120" w:type="dxa"/>
            </w:tcMar>
            <w:vAlign w:val="center"/>
          </w:tcPr>
          <w:p>
            <w:pPr>
              <w:spacing w:after="0" w:line="240" w:lineRule="auto"/>
            </w:pPr>
            <w:r>
              <w:rPr>
                <w:sz w:val="19"/>
              </w:rPr>
              <w:t>Create the authoritative asset record, including ownership, model, serial, acquisition data, maintenance program, configuration and current location.</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Commissioning / initial inspection</w:t>
            </w:r>
          </w:p>
        </w:tc>
        <w:tc>
          <w:tcPr>
            <w:tcW w:type="dxa" w:w="6984"/>
            <w:tcMar>
              <w:top w:w="110" w:type="dxa"/>
              <w:start w:w="120" w:type="dxa"/>
              <w:bottom w:w="110" w:type="dxa"/>
              <w:end w:w="120" w:type="dxa"/>
            </w:tcMar>
            <w:vAlign w:val="center"/>
          </w:tcPr>
          <w:p>
            <w:pPr>
              <w:spacing w:after="0" w:line="240" w:lineRule="auto"/>
            </w:pPr>
            <w:r>
              <w:rPr>
                <w:sz w:val="19"/>
              </w:rPr>
              <w:t>Establish a documented baseline and confirm the equipment is clinically and operationally ready before first deployment.</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Initial configuration / software baseline</w:t>
            </w:r>
          </w:p>
        </w:tc>
        <w:tc>
          <w:tcPr>
            <w:tcW w:type="dxa" w:w="6984"/>
            <w:tcMar>
              <w:top w:w="110" w:type="dxa"/>
              <w:start w:w="120" w:type="dxa"/>
              <w:bottom w:w="110" w:type="dxa"/>
              <w:end w:w="120" w:type="dxa"/>
            </w:tcMar>
            <w:vAlign w:val="center"/>
          </w:tcPr>
          <w:p>
            <w:pPr>
              <w:spacing w:after="0" w:line="240" w:lineRule="auto"/>
            </w:pPr>
            <w:r>
              <w:rPr>
                <w:sz w:val="19"/>
              </w:rPr>
              <w:t>Record initial hardware, firmware, software, feature, connectivity and accessory configuration as applicable.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Rental fleet activation</w:t>
            </w:r>
          </w:p>
        </w:tc>
        <w:tc>
          <w:tcPr>
            <w:tcW w:type="dxa" w:w="6984"/>
            <w:tcMar>
              <w:top w:w="110" w:type="dxa"/>
              <w:start w:w="120" w:type="dxa"/>
              <w:bottom w:w="110" w:type="dxa"/>
              <w:end w:w="120" w:type="dxa"/>
            </w:tcMar>
            <w:vAlign w:val="center"/>
          </w:tcPr>
          <w:p>
            <w:pPr>
              <w:spacing w:after="0" w:line="240" w:lineRule="auto"/>
            </w:pPr>
            <w:r>
              <w:rPr>
                <w:sz w:val="19"/>
              </w:rPr>
              <w:t>Change the asset from acquisition/commissioning status to active rental-fleet availability.</w:t>
            </w:r>
          </w:p>
        </w:tc>
      </w:tr>
    </w:tbl>
    <w:p>
      <w:pPr>
        <w:pStyle w:val="Heading2"/>
      </w:pPr>
      <w:r>
        <w:t>4.9 Inventory and Asset Control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Mar>
              <w:top w:w="110" w:type="dxa"/>
              <w:start w:w="120" w:type="dxa"/>
              <w:bottom w:w="110" w:type="dxa"/>
              <w:end w:w="120" w:type="dxa"/>
            </w:tcMar>
            <w:vAlign w:val="center"/>
          </w:tcPr>
          <w:p>
            <w:pPr>
              <w:jc w:val="left"/>
            </w:pPr>
            <w:r>
              <w:rPr>
                <w:b/>
                <w:color w:val="FFFFFF"/>
                <w:sz w:val="19"/>
              </w:rPr>
              <w:t>Workflow</w:t>
            </w:r>
          </w:p>
        </w:tc>
        <w:tc>
          <w:tcPr>
            <w:tcW w:type="dxa" w:w="6984"/>
            <w:shd w:fill="17365D"/>
            <w:tcMar>
              <w:top w:w="110" w:type="dxa"/>
              <w:start w:w="120" w:type="dxa"/>
              <w:bottom w:w="110" w:type="dxa"/>
              <w:end w:w="120" w:type="dxa"/>
            </w:tcMar>
            <w:vAlign w:val="center"/>
          </w:tcPr>
          <w:p>
            <w:pPr>
              <w:jc w:val="left"/>
            </w:pPr>
            <w:r>
              <w:rPr>
                <w:b/>
                <w:color w:val="FFFFFF"/>
                <w:sz w:val="19"/>
              </w:rPr>
              <w:t>Definition / Purpose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Cycle count / physical inventory</w:t>
            </w:r>
          </w:p>
        </w:tc>
        <w:tc>
          <w:tcPr>
            <w:tcW w:type="dxa" w:w="6984"/>
            <w:tcMar>
              <w:top w:w="110" w:type="dxa"/>
              <w:start w:w="120" w:type="dxa"/>
              <w:bottom w:w="110" w:type="dxa"/>
              <w:end w:w="120" w:type="dxa"/>
            </w:tcMar>
            <w:vAlign w:val="center"/>
          </w:tcPr>
          <w:p>
            <w:pPr>
              <w:spacing w:after="0" w:line="240" w:lineRule="auto"/>
            </w:pPr>
            <w:r>
              <w:rPr>
                <w:sz w:val="19"/>
              </w:rPr>
              <w:t>Perform periodic physical verification of equipment at branches, warehouses and other controlled locations.</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Inventory reconciliation</w:t>
            </w:r>
          </w:p>
        </w:tc>
        <w:tc>
          <w:tcPr>
            <w:tcW w:type="dxa" w:w="6984"/>
            <w:tcMar>
              <w:top w:w="110" w:type="dxa"/>
              <w:start w:w="120" w:type="dxa"/>
              <w:bottom w:w="110" w:type="dxa"/>
              <w:end w:w="120" w:type="dxa"/>
            </w:tcMar>
            <w:vAlign w:val="center"/>
          </w:tcPr>
          <w:p>
            <w:pPr>
              <w:spacing w:after="0" w:line="240" w:lineRule="auto"/>
            </w:pPr>
            <w:r>
              <w:rPr>
                <w:sz w:val="19"/>
              </w:rPr>
              <w:t>Research and correct variances between physical observation and system records.</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Location correction / asset found</w:t>
            </w:r>
          </w:p>
        </w:tc>
        <w:tc>
          <w:tcPr>
            <w:tcW w:type="dxa" w:w="6984"/>
            <w:tcMar>
              <w:top w:w="110" w:type="dxa"/>
              <w:start w:w="120" w:type="dxa"/>
              <w:bottom w:w="110" w:type="dxa"/>
              <w:end w:w="120" w:type="dxa"/>
            </w:tcMar>
            <w:vAlign w:val="center"/>
          </w:tcPr>
          <w:p>
            <w:pPr>
              <w:spacing w:after="0" w:line="240" w:lineRule="auto"/>
            </w:pPr>
            <w:r>
              <w:rPr>
                <w:sz w:val="19"/>
              </w:rPr>
              <w:t>Document an asset located somewhere other than its recorded location and correct the system of record with appropriate audit history.</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Lost / missing investigation</w:t>
            </w:r>
          </w:p>
        </w:tc>
        <w:tc>
          <w:tcPr>
            <w:tcW w:type="dxa" w:w="6984"/>
            <w:tcMar>
              <w:top w:w="110" w:type="dxa"/>
              <w:start w:w="120" w:type="dxa"/>
              <w:bottom w:w="110" w:type="dxa"/>
              <w:end w:w="120" w:type="dxa"/>
            </w:tcMar>
            <w:vAlign w:val="center"/>
          </w:tcPr>
          <w:p>
            <w:pPr>
              <w:spacing w:after="0" w:line="240" w:lineRule="auto"/>
            </w:pPr>
            <w:r>
              <w:rPr>
                <w:sz w:val="19"/>
              </w:rPr>
              <w:t>Investigate assets that cannot be physically located before concluding that they should be written off.</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Stolen equipment</w:t>
            </w:r>
          </w:p>
        </w:tc>
        <w:tc>
          <w:tcPr>
            <w:tcW w:type="dxa" w:w="6984"/>
            <w:tcMar>
              <w:top w:w="110" w:type="dxa"/>
              <w:start w:w="120" w:type="dxa"/>
              <w:bottom w:w="110" w:type="dxa"/>
              <w:end w:w="120" w:type="dxa"/>
            </w:tcMar>
            <w:vAlign w:val="center"/>
          </w:tcPr>
          <w:p>
            <w:pPr>
              <w:spacing w:after="0" w:line="240" w:lineRule="auto"/>
            </w:pPr>
            <w:r>
              <w:rPr>
                <w:sz w:val="19"/>
              </w:rPr>
              <w:t>Document confirmed or suspected theft, required escalation, reports and final disposition.</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Asset condition assessment</w:t>
            </w:r>
          </w:p>
        </w:tc>
        <w:tc>
          <w:tcPr>
            <w:tcW w:type="dxa" w:w="6984"/>
            <w:tcMar>
              <w:top w:w="110" w:type="dxa"/>
              <w:start w:w="120" w:type="dxa"/>
              <w:bottom w:w="110" w:type="dxa"/>
              <w:end w:w="120" w:type="dxa"/>
            </w:tcMar>
            <w:vAlign w:val="center"/>
          </w:tcPr>
          <w:p>
            <w:pPr>
              <w:spacing w:after="0" w:line="240" w:lineRule="auto"/>
            </w:pPr>
            <w:r>
              <w:rPr>
                <w:sz w:val="19"/>
              </w:rPr>
              <w:t>Perform periodic fleet-health assessment independent of a specific repair or PM event to support replacement and capital planning.</w:t>
            </w:r>
          </w:p>
        </w:tc>
      </w:tr>
    </w:tbl>
    <w:p>
      <w:pPr>
        <w:pStyle w:val="Heading2"/>
      </w:pPr>
      <w:r>
        <w:t>4.10 Asset Exit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Mar>
              <w:top w:w="110" w:type="dxa"/>
              <w:start w:w="120" w:type="dxa"/>
              <w:bottom w:w="110" w:type="dxa"/>
              <w:end w:w="120" w:type="dxa"/>
            </w:tcMar>
            <w:vAlign w:val="center"/>
          </w:tcPr>
          <w:p>
            <w:pPr>
              <w:jc w:val="left"/>
            </w:pPr>
            <w:r>
              <w:rPr>
                <w:b/>
                <w:color w:val="FFFFFF"/>
                <w:sz w:val="19"/>
              </w:rPr>
              <w:t>Workflow</w:t>
            </w:r>
          </w:p>
        </w:tc>
        <w:tc>
          <w:tcPr>
            <w:tcW w:type="dxa" w:w="6984"/>
            <w:shd w:fill="17365D"/>
            <w:tcMar>
              <w:top w:w="110" w:type="dxa"/>
              <w:start w:w="120" w:type="dxa"/>
              <w:bottom w:w="110" w:type="dxa"/>
              <w:end w:w="120" w:type="dxa"/>
            </w:tcMar>
            <w:vAlign w:val="center"/>
          </w:tcPr>
          <w:p>
            <w:pPr>
              <w:jc w:val="left"/>
            </w:pPr>
            <w:r>
              <w:rPr>
                <w:b/>
                <w:color w:val="FFFFFF"/>
                <w:sz w:val="19"/>
              </w:rPr>
              <w:t>Definition / Purpose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Retirement approval</w:t>
            </w:r>
          </w:p>
        </w:tc>
        <w:tc>
          <w:tcPr>
            <w:tcW w:type="dxa" w:w="6984"/>
            <w:tcMar>
              <w:top w:w="110" w:type="dxa"/>
              <w:start w:w="120" w:type="dxa"/>
              <w:bottom w:w="110" w:type="dxa"/>
              <w:end w:w="120" w:type="dxa"/>
            </w:tcMar>
            <w:vAlign w:val="center"/>
          </w:tcPr>
          <w:p>
            <w:pPr>
              <w:spacing w:after="0" w:line="240" w:lineRule="auto"/>
            </w:pPr>
            <w:r>
              <w:rPr>
                <w:sz w:val="19"/>
              </w:rPr>
              <w:t>Approve removal from active fleet based on age, condition, economics, obsolescence, safety, loss or strategic decision.</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Sale</w:t>
            </w:r>
          </w:p>
        </w:tc>
        <w:tc>
          <w:tcPr>
            <w:tcW w:type="dxa" w:w="6984"/>
            <w:tcMar>
              <w:top w:w="110" w:type="dxa"/>
              <w:start w:w="120" w:type="dxa"/>
              <w:bottom w:w="110" w:type="dxa"/>
              <w:end w:w="120" w:type="dxa"/>
            </w:tcMar>
            <w:vAlign w:val="center"/>
          </w:tcPr>
          <w:p>
            <w:pPr>
              <w:spacing w:after="0" w:line="240" w:lineRule="auto"/>
            </w:pPr>
            <w:r>
              <w:rPr>
                <w:sz w:val="19"/>
              </w:rPr>
              <w:t>Transfer ownership to a customer or other buyer and remove the asset from active rental inventory.</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Lost asset write-off</w:t>
            </w:r>
          </w:p>
        </w:tc>
        <w:tc>
          <w:tcPr>
            <w:tcW w:type="dxa" w:w="6984"/>
            <w:tcMar>
              <w:top w:w="110" w:type="dxa"/>
              <w:start w:w="120" w:type="dxa"/>
              <w:bottom w:w="110" w:type="dxa"/>
              <w:end w:w="120" w:type="dxa"/>
            </w:tcMar>
            <w:vAlign w:val="center"/>
          </w:tcPr>
          <w:p>
            <w:pPr>
              <w:spacing w:after="0" w:line="240" w:lineRule="auto"/>
            </w:pPr>
            <w:r>
              <w:rPr>
                <w:sz w:val="19"/>
              </w:rPr>
              <w:t>Financially and operationally retire an asset that has been determined unrecoverable.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Trade-in</w:t>
            </w:r>
          </w:p>
        </w:tc>
        <w:tc>
          <w:tcPr>
            <w:tcW w:type="dxa" w:w="6984"/>
            <w:tcMar>
              <w:top w:w="110" w:type="dxa"/>
              <w:start w:w="120" w:type="dxa"/>
              <w:bottom w:w="110" w:type="dxa"/>
              <w:end w:w="120" w:type="dxa"/>
            </w:tcMar>
            <w:vAlign w:val="center"/>
          </w:tcPr>
          <w:p>
            <w:pPr>
              <w:spacing w:after="0" w:line="240" w:lineRule="auto"/>
            </w:pPr>
            <w:r>
              <w:rPr>
                <w:sz w:val="19"/>
              </w:rPr>
              <w:t>Transfer equipment to an OEM/vendor as consideration for replacement equipment.</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Return to vendor / lease return</w:t>
            </w:r>
          </w:p>
        </w:tc>
        <w:tc>
          <w:tcPr>
            <w:tcW w:type="dxa" w:w="6984"/>
            <w:tcMar>
              <w:top w:w="110" w:type="dxa"/>
              <w:start w:w="120" w:type="dxa"/>
              <w:bottom w:w="110" w:type="dxa"/>
              <w:end w:w="120" w:type="dxa"/>
            </w:tcMar>
            <w:vAlign w:val="center"/>
          </w:tcPr>
          <w:p>
            <w:pPr>
              <w:spacing w:after="0" w:line="240" w:lineRule="auto"/>
            </w:pPr>
            <w:r>
              <w:rPr>
                <w:sz w:val="19"/>
              </w:rPr>
              <w:t>Return equipment that USME does not retain ownership of at the end of a lease, financing or other arrangement.</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Destruction / scrap</w:t>
            </w:r>
          </w:p>
        </w:tc>
        <w:tc>
          <w:tcPr>
            <w:tcW w:type="dxa" w:w="6984"/>
            <w:tcMar>
              <w:top w:w="110" w:type="dxa"/>
              <w:start w:w="120" w:type="dxa"/>
              <w:bottom w:w="110" w:type="dxa"/>
              <w:end w:w="120" w:type="dxa"/>
            </w:tcMar>
            <w:vAlign w:val="center"/>
          </w:tcPr>
          <w:p>
            <w:pPr>
              <w:spacing w:after="0" w:line="240" w:lineRule="auto"/>
            </w:pPr>
            <w:r>
              <w:rPr>
                <w:sz w:val="19"/>
              </w:rPr>
              <w:t>Render equipment unusable and dispose of it through an approved process.</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Record / certificate of destruction</w:t>
            </w:r>
          </w:p>
        </w:tc>
        <w:tc>
          <w:tcPr>
            <w:tcW w:type="dxa" w:w="6984"/>
            <w:tcMar>
              <w:top w:w="110" w:type="dxa"/>
              <w:start w:w="120" w:type="dxa"/>
              <w:bottom w:w="110" w:type="dxa"/>
              <w:end w:w="120" w:type="dxa"/>
            </w:tcMar>
            <w:vAlign w:val="center"/>
          </w:tcPr>
          <w:p>
            <w:pPr>
              <w:spacing w:after="0" w:line="240" w:lineRule="auto"/>
            </w:pPr>
            <w:r>
              <w:rPr>
                <w:sz w:val="19"/>
              </w:rPr>
              <w:t>Preserve evidence that the specific asset was destroyed or scrapped and is no longer available for use.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Data sanitization</w:t>
            </w:r>
          </w:p>
        </w:tc>
        <w:tc>
          <w:tcPr>
            <w:tcW w:type="dxa" w:w="6984"/>
            <w:tcMar>
              <w:top w:w="110" w:type="dxa"/>
              <w:start w:w="120" w:type="dxa"/>
              <w:bottom w:w="110" w:type="dxa"/>
              <w:end w:w="120" w:type="dxa"/>
            </w:tcMar>
            <w:vAlign w:val="center"/>
          </w:tcPr>
          <w:p>
            <w:pPr>
              <w:spacing w:after="0" w:line="240" w:lineRule="auto"/>
            </w:pPr>
            <w:r>
              <w:rPr>
                <w:sz w:val="19"/>
              </w:rPr>
              <w:t>Remove protected, customer, patient, network or device data as applicable before sale, return, recycling or destruction.</w:t>
            </w:r>
          </w:p>
        </w:tc>
      </w:tr>
    </w:tbl>
    <w:p>
      <w:pPr>
        <w:pStyle w:val="Heading2"/>
      </w:pPr>
      <w:r>
        <w:t>4.11 Customer-Owned Equipment Service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7365D"/>
            <w:tcMar>
              <w:top w:w="110" w:type="dxa"/>
              <w:start w:w="120" w:type="dxa"/>
              <w:bottom w:w="110" w:type="dxa"/>
              <w:end w:w="120" w:type="dxa"/>
            </w:tcMar>
            <w:vAlign w:val="center"/>
          </w:tcPr>
          <w:p>
            <w:pPr>
              <w:jc w:val="left"/>
            </w:pPr>
            <w:r>
              <w:rPr>
                <w:b/>
                <w:color w:val="FFFFFF"/>
                <w:sz w:val="19"/>
              </w:rPr>
              <w:t>Workflow</w:t>
            </w:r>
          </w:p>
        </w:tc>
        <w:tc>
          <w:tcPr>
            <w:tcW w:type="dxa" w:w="6984"/>
            <w:shd w:fill="17365D"/>
            <w:tcMar>
              <w:top w:w="110" w:type="dxa"/>
              <w:start w:w="120" w:type="dxa"/>
              <w:bottom w:w="110" w:type="dxa"/>
              <w:end w:w="120" w:type="dxa"/>
            </w:tcMar>
            <w:vAlign w:val="center"/>
          </w:tcPr>
          <w:p>
            <w:pPr>
              <w:jc w:val="left"/>
            </w:pPr>
            <w:r>
              <w:rPr>
                <w:b/>
                <w:color w:val="FFFFFF"/>
                <w:sz w:val="19"/>
              </w:rPr>
              <w:t>Definition / Purpose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Customer equipment intake</w:t>
            </w:r>
          </w:p>
        </w:tc>
        <w:tc>
          <w:tcPr>
            <w:tcW w:type="dxa" w:w="6984"/>
            <w:tcMar>
              <w:top w:w="110" w:type="dxa"/>
              <w:start w:w="120" w:type="dxa"/>
              <w:bottom w:w="110" w:type="dxa"/>
              <w:end w:w="120" w:type="dxa"/>
            </w:tcMar>
            <w:vAlign w:val="center"/>
          </w:tcPr>
          <w:p>
            <w:pPr>
              <w:spacing w:after="0" w:line="240" w:lineRule="auto"/>
            </w:pPr>
            <w:r>
              <w:rPr>
                <w:sz w:val="19"/>
              </w:rPr>
              <w:t>Establish customer ownership, equipment identity, condition, custody, service request and contractual/authorization basis.</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Preventive maintenance</w:t>
            </w:r>
          </w:p>
        </w:tc>
        <w:tc>
          <w:tcPr>
            <w:tcW w:type="dxa" w:w="6984"/>
            <w:tcMar>
              <w:top w:w="110" w:type="dxa"/>
              <w:start w:w="120" w:type="dxa"/>
              <w:bottom w:w="110" w:type="dxa"/>
              <w:end w:w="120" w:type="dxa"/>
            </w:tcMar>
            <w:vAlign w:val="center"/>
          </w:tcPr>
          <w:p>
            <w:pPr>
              <w:spacing w:after="0" w:line="240" w:lineRule="auto"/>
            </w:pPr>
            <w:r>
              <w:rPr>
                <w:sz w:val="19"/>
              </w:rPr>
              <w:t>Use the same core PM workflow as USME-owned equipment while preserving customer ownership and service-contract rules.</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Repair</w:t>
            </w:r>
          </w:p>
        </w:tc>
        <w:tc>
          <w:tcPr>
            <w:tcW w:type="dxa" w:w="6984"/>
            <w:tcMar>
              <w:top w:w="110" w:type="dxa"/>
              <w:start w:w="120" w:type="dxa"/>
              <w:bottom w:w="110" w:type="dxa"/>
              <w:end w:w="120" w:type="dxa"/>
            </w:tcMar>
            <w:vAlign w:val="center"/>
          </w:tcPr>
          <w:p>
            <w:pPr>
              <w:spacing w:after="0" w:line="240" w:lineRule="auto"/>
            </w:pPr>
            <w:r>
              <w:rPr>
                <w:sz w:val="19"/>
              </w:rPr>
              <w:t>Use the same diagnostic and corrective workflow while capturing customer authorization, billable labor and parts as applicable.</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Upgrade / modification</w:t>
            </w:r>
          </w:p>
        </w:tc>
        <w:tc>
          <w:tcPr>
            <w:tcW w:type="dxa" w:w="6984"/>
            <w:tcMar>
              <w:top w:w="110" w:type="dxa"/>
              <w:start w:w="120" w:type="dxa"/>
              <w:bottom w:w="110" w:type="dxa"/>
              <w:end w:w="120" w:type="dxa"/>
            </w:tcMar>
            <w:vAlign w:val="center"/>
          </w:tcPr>
          <w:p>
            <w:pPr>
              <w:spacing w:after="0" w:line="240" w:lineRule="auto"/>
            </w:pPr>
            <w:r>
              <w:rPr>
                <w:sz w:val="19"/>
              </w:rPr>
              <w:t>Perform authorized changes while documenting configuration history and customer approval.</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Estimate / authorization</w:t>
            </w:r>
          </w:p>
        </w:tc>
        <w:tc>
          <w:tcPr>
            <w:tcW w:type="dxa" w:w="6984"/>
            <w:tcMar>
              <w:top w:w="110" w:type="dxa"/>
              <w:start w:w="120" w:type="dxa"/>
              <w:bottom w:w="110" w:type="dxa"/>
              <w:end w:w="120" w:type="dxa"/>
            </w:tcMar>
            <w:vAlign w:val="center"/>
          </w:tcPr>
          <w:p>
            <w:pPr>
              <w:spacing w:after="0" w:line="240" w:lineRule="auto"/>
            </w:pPr>
            <w:r>
              <w:rPr>
                <w:sz w:val="19"/>
              </w:rPr>
              <w:t>Create a repair estimate or scope and obtain approval before work that is outside contract or exceeds predefined authorization thresholds.</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Customer equipment return</w:t>
            </w:r>
          </w:p>
        </w:tc>
        <w:tc>
          <w:tcPr>
            <w:tcW w:type="dxa" w:w="6984"/>
            <w:tcMar>
              <w:top w:w="110" w:type="dxa"/>
              <w:start w:w="120" w:type="dxa"/>
              <w:bottom w:w="110" w:type="dxa"/>
              <w:end w:w="120" w:type="dxa"/>
            </w:tcMar>
            <w:vAlign w:val="center"/>
          </w:tcPr>
          <w:p>
            <w:pPr>
              <w:spacing w:after="0" w:line="240" w:lineRule="auto"/>
            </w:pPr>
            <w:r>
              <w:rPr>
                <w:sz w:val="19"/>
              </w:rPr>
              <w:t>Return equipment with proof of service, final condition, work performed, parts used and custody transfer.</w:t>
            </w:r>
          </w:p>
        </w:tc>
      </w:tr>
      <w:tr>
        <w:trPr>
          <w:cantSplit/>
        </w:trPr>
        <w:tc>
          <w:tcPr>
            <w:tcW w:type="dxa" w:w="2952"/>
            <w:tcMar>
              <w:top w:w="110" w:type="dxa"/>
              <w:start w:w="120" w:type="dxa"/>
              <w:bottom w:w="110" w:type="dxa"/>
              <w:end w:w="120" w:type="dxa"/>
            </w:tcMar>
            <w:vAlign w:val="center"/>
          </w:tcPr>
          <w:p>
            <w:pPr>
              <w:spacing w:after="0" w:line="240" w:lineRule="auto"/>
            </w:pPr>
            <w:r>
              <w:rPr>
                <w:b/>
                <w:sz w:val="19"/>
              </w:rPr>
              <w:t>Loaner / replacement</w:t>
            </w:r>
          </w:p>
        </w:tc>
        <w:tc>
          <w:tcPr>
            <w:tcW w:type="dxa" w:w="6984"/>
            <w:tcMar>
              <w:top w:w="110" w:type="dxa"/>
              <w:start w:w="120" w:type="dxa"/>
              <w:bottom w:w="110" w:type="dxa"/>
              <w:end w:w="120" w:type="dxa"/>
            </w:tcMar>
            <w:vAlign w:val="center"/>
          </w:tcPr>
          <w:p>
            <w:pPr>
              <w:spacing w:after="0" w:line="240" w:lineRule="auto"/>
            </w:pPr>
            <w:r>
              <w:rPr>
                <w:sz w:val="19"/>
              </w:rPr>
              <w:t>Provide temporary equipment when service duration or clinical need requires continuity of use.</w:t>
            </w:r>
          </w:p>
        </w:tc>
      </w:tr>
    </w:tbl>
    <w:p>
      <w:pPr>
        <w:pStyle w:val="Heading1"/>
      </w:pPr>
      <w:r>
        <w:t>5. Recommended Status Architecture</w:t>
      </w:r>
    </w:p>
    <w:p>
      <w:r>
        <w:t>The software architecture should avoid using one status field to represent every operational concept. A practical design separates at least four dimensions: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65D"/>
            <w:tcMar>
              <w:top w:w="110" w:type="dxa"/>
              <w:start w:w="120" w:type="dxa"/>
              <w:bottom w:w="110" w:type="dxa"/>
              <w:end w:w="120" w:type="dxa"/>
            </w:tcMar>
            <w:vAlign w:val="center"/>
          </w:tcPr>
          <w:p>
            <w:pPr>
              <w:jc w:val="left"/>
            </w:pPr>
            <w:r>
              <w:rPr>
                <w:b/>
                <w:color w:val="FFFFFF"/>
                <w:sz w:val="19"/>
              </w:rPr>
              <w:t>Dimension</w:t>
            </w:r>
          </w:p>
        </w:tc>
        <w:tc>
          <w:tcPr>
            <w:tcW w:type="dxa" w:w="7056"/>
            <w:shd w:fill="17365D"/>
            <w:tcMar>
              <w:top w:w="110" w:type="dxa"/>
              <w:start w:w="120" w:type="dxa"/>
              <w:bottom w:w="110" w:type="dxa"/>
              <w:end w:w="120" w:type="dxa"/>
            </w:tcMar>
            <w:vAlign w:val="center"/>
          </w:tcPr>
          <w:p>
            <w:pPr>
              <w:jc w:val="left"/>
            </w:pPr>
            <w:r>
              <w:rPr>
                <w:b/>
                <w:color w:val="FFFFFF"/>
                <w:sz w:val="19"/>
              </w:rPr>
              <w:t>Illustrative Values</w:t>
            </w:r>
          </w:p>
        </w:tc>
      </w:tr>
      <w:tr>
        <w:trPr>
          <w:cantSplit/>
        </w:trPr>
        <w:tc>
          <w:tcPr>
            <w:tcW w:type="dxa" w:w="2880"/>
            <w:tcMar>
              <w:top w:w="110" w:type="dxa"/>
              <w:start w:w="120" w:type="dxa"/>
              <w:bottom w:w="110" w:type="dxa"/>
              <w:end w:w="120" w:type="dxa"/>
            </w:tcMar>
            <w:vAlign w:val="center"/>
          </w:tcPr>
          <w:p>
            <w:pPr>
              <w:spacing w:after="0" w:line="240" w:lineRule="auto"/>
            </w:pPr>
            <w:r>
              <w:rPr>
                <w:b/>
                <w:sz w:val="19"/>
              </w:rPr>
              <w:t>Asset Operational Status</w:t>
            </w:r>
          </w:p>
        </w:tc>
        <w:tc>
          <w:tcPr>
            <w:tcW w:type="dxa" w:w="7056"/>
            <w:tcMar>
              <w:top w:w="110" w:type="dxa"/>
              <w:start w:w="120" w:type="dxa"/>
              <w:bottom w:w="110" w:type="dxa"/>
              <w:end w:w="120" w:type="dxa"/>
            </w:tcMar>
            <w:vAlign w:val="center"/>
          </w:tcPr>
          <w:p>
            <w:pPr>
              <w:spacing w:after="0" w:line="240" w:lineRule="auto"/>
            </w:pPr>
            <w:r>
              <w:rPr>
                <w:sz w:val="19"/>
              </w:rPr>
              <w:t>Examples: Available, Reserved, In Transit, On Rent, In Processing, In Service, Quarantined, Retired.</w:t>
            </w:r>
          </w:p>
        </w:tc>
      </w:tr>
      <w:tr>
        <w:trPr>
          <w:cantSplit/>
        </w:trPr>
        <w:tc>
          <w:tcPr>
            <w:tcW w:type="dxa" w:w="2880"/>
            <w:tcMar>
              <w:top w:w="110" w:type="dxa"/>
              <w:start w:w="120" w:type="dxa"/>
              <w:bottom w:w="110" w:type="dxa"/>
              <w:end w:w="120" w:type="dxa"/>
            </w:tcMar>
            <w:vAlign w:val="center"/>
          </w:tcPr>
          <w:p>
            <w:pPr>
              <w:spacing w:after="0" w:line="240" w:lineRule="auto"/>
            </w:pPr>
            <w:r>
              <w:rPr>
                <w:b/>
                <w:sz w:val="19"/>
              </w:rPr>
              <w:t>Rental / Commercial Status</w:t>
            </w:r>
          </w:p>
        </w:tc>
        <w:tc>
          <w:tcPr>
            <w:tcW w:type="dxa" w:w="7056"/>
            <w:tcMar>
              <w:top w:w="110" w:type="dxa"/>
              <w:start w:w="120" w:type="dxa"/>
              <w:bottom w:w="110" w:type="dxa"/>
              <w:end w:w="120" w:type="dxa"/>
            </w:tcMar>
            <w:vAlign w:val="center"/>
          </w:tcPr>
          <w:p>
            <w:pPr>
              <w:spacing w:after="0" w:line="240" w:lineRule="auto"/>
            </w:pPr>
            <w:r>
              <w:rPr>
                <w:sz w:val="19"/>
              </w:rPr>
              <w:t>Examples: Quote/Request, Confirmed, Active, Off-Rent Requested, Billing Stopped, Closed.</w:t>
            </w:r>
          </w:p>
        </w:tc>
      </w:tr>
      <w:tr>
        <w:trPr>
          <w:cantSplit/>
        </w:trPr>
        <w:tc>
          <w:tcPr>
            <w:tcW w:type="dxa" w:w="2880"/>
            <w:tcMar>
              <w:top w:w="110" w:type="dxa"/>
              <w:start w:w="120" w:type="dxa"/>
              <w:bottom w:w="110" w:type="dxa"/>
              <w:end w:w="120" w:type="dxa"/>
            </w:tcMar>
            <w:vAlign w:val="center"/>
          </w:tcPr>
          <w:p>
            <w:pPr>
              <w:spacing w:after="0" w:line="240" w:lineRule="auto"/>
            </w:pPr>
            <w:r>
              <w:rPr>
                <w:b/>
                <w:sz w:val="19"/>
              </w:rPr>
              <w:t>Custody / Location</w:t>
            </w:r>
          </w:p>
        </w:tc>
        <w:tc>
          <w:tcPr>
            <w:tcW w:type="dxa" w:w="7056"/>
            <w:tcMar>
              <w:top w:w="110" w:type="dxa"/>
              <w:start w:w="120" w:type="dxa"/>
              <w:bottom w:w="110" w:type="dxa"/>
              <w:end w:w="120" w:type="dxa"/>
            </w:tcMar>
            <w:vAlign w:val="center"/>
          </w:tcPr>
          <w:p>
            <w:pPr>
              <w:spacing w:after="0" w:line="240" w:lineRule="auto"/>
            </w:pPr>
            <w:r>
              <w:rPr>
                <w:sz w:val="19"/>
              </w:rPr>
              <w:t>Examples: USME branch, USME vehicle, freight carrier, customer site, OEM/vendor, missing/unknown.</w:t>
            </w:r>
          </w:p>
        </w:tc>
      </w:tr>
      <w:tr>
        <w:trPr>
          <w:cantSplit/>
        </w:trPr>
        <w:tc>
          <w:tcPr>
            <w:tcW w:type="dxa" w:w="2880"/>
            <w:tcMar>
              <w:top w:w="110" w:type="dxa"/>
              <w:start w:w="120" w:type="dxa"/>
              <w:bottom w:w="110" w:type="dxa"/>
              <w:end w:w="120" w:type="dxa"/>
            </w:tcMar>
            <w:vAlign w:val="center"/>
          </w:tcPr>
          <w:p>
            <w:pPr>
              <w:spacing w:after="0" w:line="240" w:lineRule="auto"/>
            </w:pPr>
            <w:r>
              <w:rPr>
                <w:b/>
                <w:sz w:val="19"/>
              </w:rPr>
              <w:t>Work Order Status</w:t>
            </w:r>
          </w:p>
        </w:tc>
        <w:tc>
          <w:tcPr>
            <w:tcW w:type="dxa" w:w="7056"/>
            <w:tcMar>
              <w:top w:w="110" w:type="dxa"/>
              <w:start w:w="120" w:type="dxa"/>
              <w:bottom w:w="110" w:type="dxa"/>
              <w:end w:w="120" w:type="dxa"/>
            </w:tcMar>
            <w:vAlign w:val="center"/>
          </w:tcPr>
          <w:p>
            <w:pPr>
              <w:spacing w:after="0" w:line="240" w:lineRule="auto"/>
            </w:pPr>
            <w:r>
              <w:rPr>
                <w:sz w:val="19"/>
              </w:rPr>
              <w:t>Examples: Open, Scheduled, In Progress, Awaiting Parts, Awaiting Authorization, Complete, Cancelled.</w:t>
            </w:r>
          </w:p>
        </w:tc>
      </w:tr>
    </w:tbl>
    <w:p>
      <w:pPr>
        <w:pStyle w:val="Callout"/>
      </w:pPr>
      <w:r>
        <w:t>Key rule: completion of a workflow may change one or more statuses, but the workflow itself should remain a permanent event in the asset history.</w:t>
      </w:r>
    </w:p>
    <w:p>
      <w:pPr>
        <w:pStyle w:val="Heading1"/>
      </w:pPr>
      <w:r>
        <w:t>6. Standard Definition for Each Workflow</w:t>
      </w:r>
    </w:p>
    <w:p>
      <w:r>
        <w:t>For process optimization and software evaluation, each workflow should be documented using the same definition template. This prevents teams from mapping only the happy path and makes vendor demonstrations materially more useful.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65D"/>
            <w:tcMar>
              <w:top w:w="110" w:type="dxa"/>
              <w:start w:w="120" w:type="dxa"/>
              <w:bottom w:w="110" w:type="dxa"/>
              <w:end w:w="120" w:type="dxa"/>
            </w:tcMar>
            <w:vAlign w:val="center"/>
          </w:tcPr>
          <w:p>
            <w:pPr>
              <w:jc w:val="left"/>
            </w:pPr>
            <w:r>
              <w:rPr>
                <w:b/>
                <w:color w:val="FFFFFF"/>
                <w:sz w:val="19"/>
              </w:rPr>
              <w:t>Attribute</w:t>
            </w:r>
          </w:p>
        </w:tc>
        <w:tc>
          <w:tcPr>
            <w:tcW w:type="dxa" w:w="7488"/>
            <w:shd w:fill="17365D"/>
            <w:tcMar>
              <w:top w:w="110" w:type="dxa"/>
              <w:start w:w="120" w:type="dxa"/>
              <w:bottom w:w="110" w:type="dxa"/>
              <w:end w:w="120" w:type="dxa"/>
            </w:tcMar>
            <w:vAlign w:val="center"/>
          </w:tcPr>
          <w:p>
            <w:pPr>
              <w:jc w:val="left"/>
            </w:pPr>
            <w:r>
              <w:rPr>
                <w:b/>
                <w:color w:val="FFFFFF"/>
                <w:sz w:val="19"/>
              </w:rPr>
              <w:t>Definition</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1. Purpose</w:t>
            </w:r>
          </w:p>
        </w:tc>
        <w:tc>
          <w:tcPr>
            <w:tcW w:type="dxa" w:w="7488"/>
            <w:tcMar>
              <w:top w:w="110" w:type="dxa"/>
              <w:start w:w="120" w:type="dxa"/>
              <w:bottom w:w="110" w:type="dxa"/>
              <w:end w:w="120" w:type="dxa"/>
            </w:tcMar>
            <w:vAlign w:val="center"/>
          </w:tcPr>
          <w:p>
            <w:pPr>
              <w:spacing w:after="0" w:line="240" w:lineRule="auto"/>
            </w:pPr>
            <w:r>
              <w:rPr>
                <w:sz w:val="19"/>
              </w:rPr>
              <w:t>Why the workflow exists and what business, quality or compliance outcome it protects.</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2. Trigger</w:t>
            </w:r>
          </w:p>
        </w:tc>
        <w:tc>
          <w:tcPr>
            <w:tcW w:type="dxa" w:w="7488"/>
            <w:tcMar>
              <w:top w:w="110" w:type="dxa"/>
              <w:start w:w="120" w:type="dxa"/>
              <w:bottom w:w="110" w:type="dxa"/>
              <w:end w:w="120" w:type="dxa"/>
            </w:tcMar>
            <w:vAlign w:val="center"/>
          </w:tcPr>
          <w:p>
            <w:pPr>
              <w:spacing w:after="0" w:line="240" w:lineRule="auto"/>
            </w:pPr>
            <w:r>
              <w:rPr>
                <w:sz w:val="19"/>
              </w:rPr>
              <w:t>Event that starts the workflow.</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3. Entry conditions</w:t>
            </w:r>
          </w:p>
        </w:tc>
        <w:tc>
          <w:tcPr>
            <w:tcW w:type="dxa" w:w="7488"/>
            <w:tcMar>
              <w:top w:w="110" w:type="dxa"/>
              <w:start w:w="120" w:type="dxa"/>
              <w:bottom w:w="110" w:type="dxa"/>
              <w:end w:w="120" w:type="dxa"/>
            </w:tcMar>
            <w:vAlign w:val="center"/>
          </w:tcPr>
          <w:p>
            <w:pPr>
              <w:spacing w:after="0" w:line="240" w:lineRule="auto"/>
            </w:pPr>
            <w:r>
              <w:rPr>
                <w:sz w:val="19"/>
              </w:rPr>
              <w:t>Required asset status, ownership, location, customer or work-order conditions before the workflow can begin.</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4. Responsible role</w:t>
            </w:r>
          </w:p>
        </w:tc>
        <w:tc>
          <w:tcPr>
            <w:tcW w:type="dxa" w:w="7488"/>
            <w:tcMar>
              <w:top w:w="110" w:type="dxa"/>
              <w:start w:w="120" w:type="dxa"/>
              <w:bottom w:w="110" w:type="dxa"/>
              <w:end w:w="120" w:type="dxa"/>
            </w:tcMar>
            <w:vAlign w:val="center"/>
          </w:tcPr>
          <w:p>
            <w:pPr>
              <w:spacing w:after="0" w:line="240" w:lineRule="auto"/>
            </w:pPr>
            <w:r>
              <w:rPr>
                <w:sz w:val="19"/>
              </w:rPr>
              <w:t>Primary accountable role plus any handoffs or approvals.</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5. Required data</w:t>
            </w:r>
          </w:p>
        </w:tc>
        <w:tc>
          <w:tcPr>
            <w:tcW w:type="dxa" w:w="7488"/>
            <w:tcMar>
              <w:top w:w="110" w:type="dxa"/>
              <w:start w:w="120" w:type="dxa"/>
              <w:bottom w:w="110" w:type="dxa"/>
              <w:end w:w="120" w:type="dxa"/>
            </w:tcMar>
            <w:vAlign w:val="center"/>
          </w:tcPr>
          <w:p>
            <w:pPr>
              <w:spacing w:after="0" w:line="240" w:lineRule="auto"/>
            </w:pPr>
            <w:r>
              <w:rPr>
                <w:sz w:val="19"/>
              </w:rPr>
              <w:t>Fields, identifiers, attachments, readings, checklists and evidence required.</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6. Standard steps</w:t>
            </w:r>
          </w:p>
        </w:tc>
        <w:tc>
          <w:tcPr>
            <w:tcW w:type="dxa" w:w="7488"/>
            <w:tcMar>
              <w:top w:w="110" w:type="dxa"/>
              <w:start w:w="120" w:type="dxa"/>
              <w:bottom w:w="110" w:type="dxa"/>
              <w:end w:w="120" w:type="dxa"/>
            </w:tcMar>
            <w:vAlign w:val="center"/>
          </w:tcPr>
          <w:p>
            <w:pPr>
              <w:spacing w:after="0" w:line="240" w:lineRule="auto"/>
            </w:pPr>
            <w:r>
              <w:rPr>
                <w:sz w:val="19"/>
              </w:rPr>
              <w:t>Expected end-to-end sequence, including physical and system activities.</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7. Decision points / exceptions</w:t>
            </w:r>
          </w:p>
        </w:tc>
        <w:tc>
          <w:tcPr>
            <w:tcW w:type="dxa" w:w="7488"/>
            <w:tcMar>
              <w:top w:w="110" w:type="dxa"/>
              <w:start w:w="120" w:type="dxa"/>
              <w:bottom w:w="110" w:type="dxa"/>
              <w:end w:w="120" w:type="dxa"/>
            </w:tcMar>
            <w:vAlign w:val="center"/>
          </w:tcPr>
          <w:p>
            <w:pPr>
              <w:spacing w:after="0" w:line="240" w:lineRule="auto"/>
            </w:pPr>
            <w:r>
              <w:rPr>
                <w:sz w:val="19"/>
              </w:rPr>
              <w:t>Failures, alternate paths, escalations, approvals, rework loops and reasons for cancellation.</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8. System transactions</w:t>
            </w:r>
          </w:p>
        </w:tc>
        <w:tc>
          <w:tcPr>
            <w:tcW w:type="dxa" w:w="7488"/>
            <w:tcMar>
              <w:top w:w="110" w:type="dxa"/>
              <w:start w:w="120" w:type="dxa"/>
              <w:bottom w:w="110" w:type="dxa"/>
              <w:end w:w="120" w:type="dxa"/>
            </w:tcMar>
            <w:vAlign w:val="center"/>
          </w:tcPr>
          <w:p>
            <w:pPr>
              <w:spacing w:after="0" w:line="240" w:lineRule="auto"/>
            </w:pPr>
            <w:r>
              <w:rPr>
                <w:sz w:val="19"/>
              </w:rPr>
              <w:t>Asset, rental, inventory, billing, work-order, parts, labor, location and status changes generated by the process.</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9. Completion criteria</w:t>
            </w:r>
          </w:p>
        </w:tc>
        <w:tc>
          <w:tcPr>
            <w:tcW w:type="dxa" w:w="7488"/>
            <w:tcMar>
              <w:top w:w="110" w:type="dxa"/>
              <w:start w:w="120" w:type="dxa"/>
              <w:bottom w:w="110" w:type="dxa"/>
              <w:end w:w="120" w:type="dxa"/>
            </w:tcMar>
            <w:vAlign w:val="center"/>
          </w:tcPr>
          <w:p>
            <w:pPr>
              <w:spacing w:after="0" w:line="240" w:lineRule="auto"/>
            </w:pPr>
            <w:r>
              <w:rPr>
                <w:sz w:val="19"/>
              </w:rPr>
              <w:t>Objective conditions that must be true before the workflow is considered complete.</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10. Controls / evidence</w:t>
            </w:r>
          </w:p>
        </w:tc>
        <w:tc>
          <w:tcPr>
            <w:tcW w:type="dxa" w:w="7488"/>
            <w:tcMar>
              <w:top w:w="110" w:type="dxa"/>
              <w:start w:w="120" w:type="dxa"/>
              <w:bottom w:w="110" w:type="dxa"/>
              <w:end w:w="120" w:type="dxa"/>
            </w:tcMar>
            <w:vAlign w:val="center"/>
          </w:tcPr>
          <w:p>
            <w:pPr>
              <w:spacing w:after="0" w:line="240" w:lineRule="auto"/>
            </w:pPr>
            <w:r>
              <w:rPr>
                <w:sz w:val="19"/>
              </w:rPr>
              <w:t>Signatures, timestamps, photos, test results, certificates, audit trail or supervisory approval required.</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11. KPIs</w:t>
            </w:r>
          </w:p>
        </w:tc>
        <w:tc>
          <w:tcPr>
            <w:tcW w:type="dxa" w:w="7488"/>
            <w:tcMar>
              <w:top w:w="110" w:type="dxa"/>
              <w:start w:w="120" w:type="dxa"/>
              <w:bottom w:w="110" w:type="dxa"/>
              <w:end w:w="120" w:type="dxa"/>
            </w:tcMar>
            <w:vAlign w:val="center"/>
          </w:tcPr>
          <w:p>
            <w:pPr>
              <w:spacing w:after="0" w:line="240" w:lineRule="auto"/>
            </w:pPr>
            <w:r>
              <w:rPr>
                <w:sz w:val="19"/>
              </w:rPr>
              <w:t>Cycle time, first-time completion, compliance, productivity, quality and exception metrics.</w:t>
            </w:r>
          </w:p>
        </w:tc>
      </w:tr>
      <w:tr>
        <w:trPr>
          <w:cantSplit/>
        </w:trPr>
        <w:tc>
          <w:tcPr>
            <w:tcW w:type="dxa" w:w="2448"/>
            <w:tcMar>
              <w:top w:w="110" w:type="dxa"/>
              <w:start w:w="120" w:type="dxa"/>
              <w:bottom w:w="110" w:type="dxa"/>
              <w:end w:w="120" w:type="dxa"/>
            </w:tcMar>
            <w:vAlign w:val="center"/>
          </w:tcPr>
          <w:p>
            <w:pPr>
              <w:spacing w:after="0" w:line="240" w:lineRule="auto"/>
            </w:pPr>
            <w:r>
              <w:rPr>
                <w:b/>
                <w:sz w:val="19"/>
              </w:rPr>
              <w:t>12. Integrations</w:t>
            </w:r>
          </w:p>
        </w:tc>
        <w:tc>
          <w:tcPr>
            <w:tcW w:type="dxa" w:w="7488"/>
            <w:tcMar>
              <w:top w:w="110" w:type="dxa"/>
              <w:start w:w="120" w:type="dxa"/>
              <w:bottom w:w="110" w:type="dxa"/>
              <w:end w:w="120" w:type="dxa"/>
            </w:tcMar>
            <w:vAlign w:val="center"/>
          </w:tcPr>
          <w:p>
            <w:pPr>
              <w:spacing w:after="0" w:line="240" w:lineRule="auto"/>
            </w:pPr>
            <w:r>
              <w:rPr>
                <w:sz w:val="19"/>
              </w:rPr>
              <w:t>Required interfaces with ERP, CRM, dispatch, billing, procurement, inventory, telematics, OEM tools or customer systems.</w:t>
            </w:r>
          </w:p>
        </w:tc>
      </w:tr>
    </w:tbl>
    <w:p>
      <w:pPr>
        <w:pStyle w:val="Heading1"/>
      </w:pPr>
      <w:r>
        <w:t>7. Implications for CMMS and Rental Software Evaluation</w:t>
      </w:r>
    </w:p>
    <w:p>
      <w:r>
        <w:t>A software solution should not be evaluated only by feature names. Vendors should be required to demonstrate these workflows using realistic serialized equipment scenarios and exception paths. At minimum, the evaluation should test whether the platform can:</w:t>
      </w:r>
    </w:p>
    <w:p>
      <w:pPr>
        <w:pStyle w:val="ListBullet"/>
        <w:spacing w:after="40"/>
      </w:pPr>
      <w:r>
        <w:t>Maintain a complete serialized asset history across rental, logistics, inventory and technical-service events.</w:t>
      </w:r>
    </w:p>
    <w:p>
      <w:pPr>
        <w:pStyle w:val="ListBullet"/>
        <w:spacing w:after="40"/>
      </w:pPr>
      <w:r>
        <w:t>Support separate operational, commercial, custody/location and work-order states.</w:t>
      </w:r>
    </w:p>
    <w:p>
      <w:pPr>
        <w:pStyle w:val="ListBullet"/>
        <w:spacing w:after="40"/>
      </w:pPr>
      <w:r>
        <w:t>Reserve and allocate equipment while preventing deployment of quarantined, overdue or otherwise unavailable assets.</w:t>
      </w:r>
    </w:p>
    <w:p>
      <w:pPr>
        <w:pStyle w:val="ListBullet"/>
        <w:spacing w:after="40"/>
      </w:pPr>
      <w:r>
        <w:t>Control patient-ready release through configurable prerequisites such as cleaning, OVP, PM and repair completion.</w:t>
      </w:r>
    </w:p>
    <w:p>
      <w:pPr>
        <w:pStyle w:val="ListBullet"/>
        <w:spacing w:after="40"/>
      </w:pPr>
      <w:r>
        <w:t>Generate PM schedules from manufacturer-specific frequencies and support different intervals by model, asset or maintenance task.</w:t>
      </w:r>
    </w:p>
    <w:p>
      <w:pPr>
        <w:pStyle w:val="ListBullet"/>
        <w:spacing w:after="40"/>
      </w:pPr>
      <w:r>
        <w:t>Capture reason for repair, reported problem, diagnosis, work performed, labor time, technician, parts/materials consumed and final verification.</w:t>
      </w:r>
    </w:p>
    <w:p>
      <w:pPr>
        <w:pStyle w:val="ListBullet"/>
        <w:spacing w:after="40"/>
      </w:pPr>
      <w:r>
        <w:t>Support field service, branch service and external vendor/OEM service without losing asset custody visibility.</w:t>
      </w:r>
    </w:p>
    <w:p>
      <w:pPr>
        <w:pStyle w:val="ListBullet"/>
        <w:spacing w:after="40"/>
      </w:pPr>
      <w:r>
        <w:t>Execute asset swaps while preserving the customer order/rental and creating a complete history for both outgoing and incoming assets.</w:t>
      </w:r>
    </w:p>
    <w:p>
      <w:pPr>
        <w:pStyle w:val="ListBullet"/>
        <w:spacing w:after="40"/>
      </w:pPr>
      <w:r>
        <w:t>Manage recalls and service bulletins by affected model/serial population, current location and required corrective action.</w:t>
      </w:r>
    </w:p>
    <w:p>
      <w:pPr>
        <w:pStyle w:val="ListBullet"/>
        <w:spacing w:after="40"/>
      </w:pPr>
      <w:r>
        <w:t>Support transfers with in-transit status and receiving confirmation by serialized asset.</w:t>
      </w:r>
    </w:p>
    <w:p>
      <w:pPr>
        <w:pStyle w:val="ListBullet"/>
        <w:spacing w:after="40"/>
      </w:pPr>
      <w:r>
        <w:t>Track customer-owned equipment separately while reusing common technical workflows.</w:t>
      </w:r>
    </w:p>
    <w:p>
      <w:pPr>
        <w:pStyle w:val="ListBullet"/>
        <w:spacing w:after="40"/>
      </w:pPr>
      <w:r>
        <w:t>Support inventory counts, reconciliation, missing-asset investigation and location correction with audit trails.</w:t>
      </w:r>
    </w:p>
    <w:p>
      <w:pPr>
        <w:pStyle w:val="ListBullet"/>
        <w:spacing w:after="40"/>
      </w:pPr>
      <w:r>
        <w:t>Support controlled retirement dispositions including sale, loss, trade-in, vendor return, scrap/destruction and data sanitization.</w:t>
      </w:r>
    </w:p>
    <w:p>
      <w:pPr>
        <w:pStyle w:val="ListBullet"/>
        <w:spacing w:after="40"/>
      </w:pPr>
      <w:r>
        <w:t>Capture attachments, photos, signatures, readings, checklists and certificates as part of workflow evidence.</w:t>
      </w:r>
    </w:p>
    <w:p>
      <w:pPr>
        <w:pStyle w:val="ListBullet"/>
        <w:spacing w:after="40"/>
      </w:pPr>
      <w:r>
        <w:t>Expose workflow timestamps and structured reason codes so cycle time, productivity, failure rate and quality metrics can be measured reliably.</w:t>
      </w:r>
    </w:p>
    <w:p>
      <w:pPr>
        <w:pStyle w:val="Heading1"/>
      </w:pPr>
      <w:r>
        <w:t>8. Priority Workflow Maps to Build First</w:t>
      </w:r>
    </w:p>
    <w:p>
      <w:r>
        <w:t>For implementation sequencing, the highest-value workflows are those with the greatest frequency, risk or cross-functional impact. The recommended first wave is: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17365D"/>
            <w:tcMar>
              <w:top w:w="110" w:type="dxa"/>
              <w:start w:w="120" w:type="dxa"/>
              <w:bottom w:w="110" w:type="dxa"/>
              <w:end w:w="120" w:type="dxa"/>
            </w:tcMar>
          </w:tcPr>
          <w:p>
            <w:r>
              <w:rPr>
                <w:b/>
                <w:color w:val="FFFFFF"/>
                <w:sz w:val="19"/>
              </w:rPr>
              <w:t>Priority</w:t>
            </w:r>
          </w:p>
        </w:tc>
        <w:tc>
          <w:tcPr>
            <w:tcW w:type="dxa" w:w="4680"/>
            <w:shd w:fill="17365D"/>
            <w:tcMar>
              <w:top w:w="110" w:type="dxa"/>
              <w:start w:w="120" w:type="dxa"/>
              <w:bottom w:w="110" w:type="dxa"/>
              <w:end w:w="120" w:type="dxa"/>
            </w:tcMar>
          </w:tcPr>
          <w:p>
            <w:r>
              <w:rPr>
                <w:b/>
                <w:color w:val="FFFFFF"/>
                <w:sz w:val="19"/>
              </w:rPr>
              <w:t>Workflow</w:t>
            </w:r>
          </w:p>
        </w:tc>
        <w:tc>
          <w:tcPr>
            <w:tcW w:type="dxa" w:w="4320"/>
            <w:shd w:fill="17365D"/>
            <w:tcMar>
              <w:top w:w="110" w:type="dxa"/>
              <w:start w:w="120" w:type="dxa"/>
              <w:bottom w:w="110" w:type="dxa"/>
              <w:end w:w="120" w:type="dxa"/>
            </w:tcMar>
          </w:tcPr>
          <w:p>
            <w:r>
              <w:rPr>
                <w:b/>
                <w:color w:val="FFFFFF"/>
                <w:sz w:val="19"/>
              </w:rPr>
              <w:t>Why First</w:t>
            </w:r>
          </w:p>
        </w:tc>
      </w:tr>
      <w:tr>
        <w:trPr>
          <w:cantSplit/>
        </w:trPr>
        <w:tc>
          <w:tcPr>
            <w:tcW w:type="dxa" w:w="936"/>
            <w:tcMar>
              <w:top w:w="110" w:type="dxa"/>
              <w:start w:w="120" w:type="dxa"/>
              <w:bottom w:w="110" w:type="dxa"/>
              <w:end w:w="120" w:type="dxa"/>
            </w:tcMar>
            <w:vAlign w:val="center"/>
          </w:tcPr>
          <w:p>
            <w:pPr>
              <w:spacing w:after="0"/>
              <w:jc w:val="center"/>
            </w:pPr>
            <w:r>
              <w:rPr>
                <w:sz w:val="18"/>
              </w:rPr>
              <w:t>1</w:t>
            </w:r>
          </w:p>
        </w:tc>
        <w:tc>
          <w:tcPr>
            <w:tcW w:type="dxa" w:w="4680"/>
            <w:tcMar>
              <w:top w:w="110" w:type="dxa"/>
              <w:start w:w="120" w:type="dxa"/>
              <w:bottom w:w="110" w:type="dxa"/>
              <w:end w:w="120" w:type="dxa"/>
            </w:tcMar>
            <w:vAlign w:val="center"/>
          </w:tcPr>
          <w:p>
            <w:pPr>
              <w:spacing w:after="0"/>
            </w:pPr>
            <w:r>
              <w:rPr>
                <w:sz w:val="18"/>
              </w:rPr>
              <w:t>Rental order -&gt; reservation -&gt; delivery -&gt; on-rent</w:t>
            </w:r>
          </w:p>
        </w:tc>
        <w:tc>
          <w:tcPr>
            <w:tcW w:type="dxa" w:w="4320"/>
            <w:tcMar>
              <w:top w:w="110" w:type="dxa"/>
              <w:start w:w="120" w:type="dxa"/>
              <w:bottom w:w="110" w:type="dxa"/>
              <w:end w:w="120" w:type="dxa"/>
            </w:tcMar>
            <w:vAlign w:val="center"/>
          </w:tcPr>
          <w:p>
            <w:pPr>
              <w:spacing w:after="0"/>
            </w:pPr>
            <w:r>
              <w:rPr>
                <w:sz w:val="18"/>
              </w:rPr>
              <w:t>Core revenue and asset-utilization flow.</w:t>
            </w:r>
          </w:p>
        </w:tc>
      </w:tr>
      <w:tr>
        <w:trPr>
          <w:cantSplit/>
        </w:trPr>
        <w:tc>
          <w:tcPr>
            <w:tcW w:type="dxa" w:w="936"/>
            <w:tcMar>
              <w:top w:w="110" w:type="dxa"/>
              <w:start w:w="120" w:type="dxa"/>
              <w:bottom w:w="110" w:type="dxa"/>
              <w:end w:w="120" w:type="dxa"/>
            </w:tcMar>
            <w:vAlign w:val="center"/>
          </w:tcPr>
          <w:p>
            <w:pPr>
              <w:spacing w:after="0"/>
              <w:jc w:val="center"/>
            </w:pPr>
            <w:r>
              <w:rPr>
                <w:sz w:val="18"/>
              </w:rPr>
              <w:t>2</w:t>
            </w:r>
          </w:p>
        </w:tc>
        <w:tc>
          <w:tcPr>
            <w:tcW w:type="dxa" w:w="4680"/>
            <w:tcMar>
              <w:top w:w="110" w:type="dxa"/>
              <w:start w:w="120" w:type="dxa"/>
              <w:bottom w:w="110" w:type="dxa"/>
              <w:end w:w="120" w:type="dxa"/>
            </w:tcMar>
            <w:vAlign w:val="center"/>
          </w:tcPr>
          <w:p>
            <w:pPr>
              <w:spacing w:after="0"/>
            </w:pPr>
            <w:r>
              <w:rPr>
                <w:sz w:val="18"/>
              </w:rPr>
              <w:t>Off-rent -&gt; pickup -&gt; recovery -&gt; rental close</w:t>
            </w:r>
          </w:p>
        </w:tc>
        <w:tc>
          <w:tcPr>
            <w:tcW w:type="dxa" w:w="4320"/>
            <w:tcMar>
              <w:top w:w="110" w:type="dxa"/>
              <w:start w:w="120" w:type="dxa"/>
              <w:bottom w:w="110" w:type="dxa"/>
              <w:end w:w="120" w:type="dxa"/>
            </w:tcMar>
            <w:vAlign w:val="center"/>
          </w:tcPr>
          <w:p>
            <w:pPr>
              <w:spacing w:after="0"/>
            </w:pPr>
            <w:r>
              <w:rPr>
                <w:sz w:val="18"/>
              </w:rPr>
              <w:t>Controls billing, asset availability and customer experience.</w:t>
            </w:r>
          </w:p>
        </w:tc>
      </w:tr>
      <w:tr>
        <w:trPr>
          <w:cantSplit/>
        </w:trPr>
        <w:tc>
          <w:tcPr>
            <w:tcW w:type="dxa" w:w="936"/>
            <w:tcMar>
              <w:top w:w="110" w:type="dxa"/>
              <w:start w:w="120" w:type="dxa"/>
              <w:bottom w:w="110" w:type="dxa"/>
              <w:end w:w="120" w:type="dxa"/>
            </w:tcMar>
            <w:vAlign w:val="center"/>
          </w:tcPr>
          <w:p>
            <w:pPr>
              <w:spacing w:after="0"/>
              <w:jc w:val="center"/>
            </w:pPr>
            <w:r>
              <w:rPr>
                <w:sz w:val="18"/>
              </w:rPr>
              <w:t>3</w:t>
            </w:r>
          </w:p>
        </w:tc>
        <w:tc>
          <w:tcPr>
            <w:tcW w:type="dxa" w:w="4680"/>
            <w:tcMar>
              <w:top w:w="110" w:type="dxa"/>
              <w:start w:w="120" w:type="dxa"/>
              <w:bottom w:w="110" w:type="dxa"/>
              <w:end w:w="120" w:type="dxa"/>
            </w:tcMar>
            <w:vAlign w:val="center"/>
          </w:tcPr>
          <w:p>
            <w:pPr>
              <w:spacing w:after="0"/>
            </w:pPr>
            <w:r>
              <w:rPr>
                <w:sz w:val="18"/>
              </w:rPr>
              <w:t>Pickup -&gt; cleaning -&gt; OVP -&gt; release to ready</w:t>
            </w:r>
          </w:p>
        </w:tc>
        <w:tc>
          <w:tcPr>
            <w:tcW w:type="dxa" w:w="4320"/>
            <w:tcMar>
              <w:top w:w="110" w:type="dxa"/>
              <w:start w:w="120" w:type="dxa"/>
              <w:bottom w:w="110" w:type="dxa"/>
              <w:end w:w="120" w:type="dxa"/>
            </w:tcMar>
            <w:vAlign w:val="center"/>
          </w:tcPr>
          <w:p>
            <w:pPr>
              <w:spacing w:after="0"/>
            </w:pPr>
            <w:r>
              <w:rPr>
                <w:sz w:val="18"/>
              </w:rPr>
              <w:t>Core turnaround-time and patient-readiness process.</w:t>
            </w:r>
          </w:p>
        </w:tc>
      </w:tr>
      <w:tr>
        <w:trPr>
          <w:cantSplit/>
        </w:trPr>
        <w:tc>
          <w:tcPr>
            <w:tcW w:type="dxa" w:w="936"/>
            <w:tcMar>
              <w:top w:w="110" w:type="dxa"/>
              <w:start w:w="120" w:type="dxa"/>
              <w:bottom w:w="110" w:type="dxa"/>
              <w:end w:w="120" w:type="dxa"/>
            </w:tcMar>
            <w:vAlign w:val="center"/>
          </w:tcPr>
          <w:p>
            <w:pPr>
              <w:spacing w:after="0"/>
              <w:jc w:val="center"/>
            </w:pPr>
            <w:r>
              <w:rPr>
                <w:sz w:val="18"/>
              </w:rPr>
              <w:t>4</w:t>
            </w:r>
          </w:p>
        </w:tc>
        <w:tc>
          <w:tcPr>
            <w:tcW w:type="dxa" w:w="4680"/>
            <w:tcMar>
              <w:top w:w="110" w:type="dxa"/>
              <w:start w:w="120" w:type="dxa"/>
              <w:bottom w:w="110" w:type="dxa"/>
              <w:end w:w="120" w:type="dxa"/>
            </w:tcMar>
            <w:vAlign w:val="center"/>
          </w:tcPr>
          <w:p>
            <w:pPr>
              <w:spacing w:after="0"/>
            </w:pPr>
            <w:r>
              <w:rPr>
                <w:sz w:val="18"/>
              </w:rPr>
              <w:t>Repair</w:t>
            </w:r>
          </w:p>
        </w:tc>
        <w:tc>
          <w:tcPr>
            <w:tcW w:type="dxa" w:w="4320"/>
            <w:tcMar>
              <w:top w:w="110" w:type="dxa"/>
              <w:start w:w="120" w:type="dxa"/>
              <w:bottom w:w="110" w:type="dxa"/>
              <w:end w:w="120" w:type="dxa"/>
            </w:tcMar>
            <w:vAlign w:val="center"/>
          </w:tcPr>
          <w:p>
            <w:pPr>
              <w:spacing w:after="0"/>
            </w:pPr>
            <w:r>
              <w:rPr>
                <w:sz w:val="18"/>
              </w:rPr>
              <w:t>High labor/parts content and important failure-history data.</w:t>
            </w:r>
          </w:p>
        </w:tc>
      </w:tr>
      <w:tr>
        <w:trPr>
          <w:cantSplit/>
        </w:trPr>
        <w:tc>
          <w:tcPr>
            <w:tcW w:type="dxa" w:w="936"/>
            <w:tcMar>
              <w:top w:w="110" w:type="dxa"/>
              <w:start w:w="120" w:type="dxa"/>
              <w:bottom w:w="110" w:type="dxa"/>
              <w:end w:w="120" w:type="dxa"/>
            </w:tcMar>
            <w:vAlign w:val="center"/>
          </w:tcPr>
          <w:p>
            <w:pPr>
              <w:spacing w:after="0"/>
              <w:jc w:val="center"/>
            </w:pPr>
            <w:r>
              <w:rPr>
                <w:sz w:val="18"/>
              </w:rPr>
              <w:t>5</w:t>
            </w:r>
          </w:p>
        </w:tc>
        <w:tc>
          <w:tcPr>
            <w:tcW w:type="dxa" w:w="4680"/>
            <w:tcMar>
              <w:top w:w="110" w:type="dxa"/>
              <w:start w:w="120" w:type="dxa"/>
              <w:bottom w:w="110" w:type="dxa"/>
              <w:end w:w="120" w:type="dxa"/>
            </w:tcMar>
            <w:vAlign w:val="center"/>
          </w:tcPr>
          <w:p>
            <w:pPr>
              <w:spacing w:after="0"/>
            </w:pPr>
            <w:r>
              <w:rPr>
                <w:sz w:val="18"/>
              </w:rPr>
              <w:t>Preventive maintenance</w:t>
            </w:r>
          </w:p>
        </w:tc>
        <w:tc>
          <w:tcPr>
            <w:tcW w:type="dxa" w:w="4320"/>
            <w:tcMar>
              <w:top w:w="110" w:type="dxa"/>
              <w:start w:w="120" w:type="dxa"/>
              <w:bottom w:w="110" w:type="dxa"/>
              <w:end w:w="120" w:type="dxa"/>
            </w:tcMar>
            <w:vAlign w:val="center"/>
          </w:tcPr>
          <w:p>
            <w:pPr>
              <w:spacing w:after="0"/>
            </w:pPr>
            <w:r>
              <w:rPr>
                <w:sz w:val="18"/>
              </w:rPr>
              <w:t>Core compliance workflow with manufacturer-specific scheduling.</w:t>
            </w:r>
          </w:p>
        </w:tc>
      </w:tr>
      <w:tr>
        <w:trPr>
          <w:cantSplit/>
        </w:trPr>
        <w:tc>
          <w:tcPr>
            <w:tcW w:type="dxa" w:w="936"/>
            <w:tcMar>
              <w:top w:w="110" w:type="dxa"/>
              <w:start w:w="120" w:type="dxa"/>
              <w:bottom w:w="110" w:type="dxa"/>
              <w:end w:w="120" w:type="dxa"/>
            </w:tcMar>
            <w:vAlign w:val="center"/>
          </w:tcPr>
          <w:p>
            <w:pPr>
              <w:spacing w:after="0"/>
              <w:jc w:val="center"/>
            </w:pPr>
            <w:r>
              <w:rPr>
                <w:sz w:val="18"/>
              </w:rPr>
              <w:t>6</w:t>
            </w:r>
          </w:p>
        </w:tc>
        <w:tc>
          <w:tcPr>
            <w:tcW w:type="dxa" w:w="4680"/>
            <w:tcMar>
              <w:top w:w="110" w:type="dxa"/>
              <w:start w:w="120" w:type="dxa"/>
              <w:bottom w:w="110" w:type="dxa"/>
              <w:end w:w="120" w:type="dxa"/>
            </w:tcMar>
            <w:vAlign w:val="center"/>
          </w:tcPr>
          <w:p>
            <w:pPr>
              <w:spacing w:after="0"/>
            </w:pPr>
            <w:r>
              <w:rPr>
                <w:sz w:val="18"/>
              </w:rPr>
              <w:t>Swap / exchange</w:t>
            </w:r>
          </w:p>
        </w:tc>
        <w:tc>
          <w:tcPr>
            <w:tcW w:type="dxa" w:w="4320"/>
            <w:tcMar>
              <w:top w:w="110" w:type="dxa"/>
              <w:start w:w="120" w:type="dxa"/>
              <w:bottom w:w="110" w:type="dxa"/>
              <w:end w:w="120" w:type="dxa"/>
            </w:tcMar>
            <w:vAlign w:val="center"/>
          </w:tcPr>
          <w:p>
            <w:pPr>
              <w:spacing w:after="0"/>
            </w:pPr>
            <w:r>
              <w:rPr>
                <w:sz w:val="18"/>
              </w:rPr>
              <w:t>Crosses rental, logistics, asset status and service workflows.</w:t>
            </w:r>
          </w:p>
        </w:tc>
      </w:tr>
      <w:tr>
        <w:trPr>
          <w:cantSplit/>
        </w:trPr>
        <w:tc>
          <w:tcPr>
            <w:tcW w:type="dxa" w:w="936"/>
            <w:tcMar>
              <w:top w:w="110" w:type="dxa"/>
              <w:start w:w="120" w:type="dxa"/>
              <w:bottom w:w="110" w:type="dxa"/>
              <w:end w:w="120" w:type="dxa"/>
            </w:tcMar>
            <w:vAlign w:val="center"/>
          </w:tcPr>
          <w:p>
            <w:pPr>
              <w:spacing w:after="0"/>
              <w:jc w:val="center"/>
            </w:pPr>
            <w:r>
              <w:rPr>
                <w:sz w:val="18"/>
              </w:rPr>
              <w:t>7</w:t>
            </w:r>
          </w:p>
        </w:tc>
        <w:tc>
          <w:tcPr>
            <w:tcW w:type="dxa" w:w="4680"/>
            <w:tcMar>
              <w:top w:w="110" w:type="dxa"/>
              <w:start w:w="120" w:type="dxa"/>
              <w:bottom w:w="110" w:type="dxa"/>
              <w:end w:w="120" w:type="dxa"/>
            </w:tcMar>
            <w:vAlign w:val="center"/>
          </w:tcPr>
          <w:p>
            <w:pPr>
              <w:spacing w:after="0"/>
            </w:pPr>
            <w:r>
              <w:rPr>
                <w:sz w:val="18"/>
              </w:rPr>
              <w:t>Branch transfer</w:t>
            </w:r>
          </w:p>
        </w:tc>
        <w:tc>
          <w:tcPr>
            <w:tcW w:type="dxa" w:w="4320"/>
            <w:tcMar>
              <w:top w:w="110" w:type="dxa"/>
              <w:start w:w="120" w:type="dxa"/>
              <w:bottom w:w="110" w:type="dxa"/>
              <w:end w:w="120" w:type="dxa"/>
            </w:tcMar>
            <w:vAlign w:val="center"/>
          </w:tcPr>
          <w:p>
            <w:pPr>
              <w:spacing w:after="0"/>
            </w:pPr>
            <w:r>
              <w:rPr>
                <w:sz w:val="18"/>
              </w:rPr>
              <w:t>Critical to national asset balancing and custody accuracy.</w:t>
            </w:r>
          </w:p>
        </w:tc>
      </w:tr>
      <w:tr>
        <w:trPr>
          <w:cantSplit/>
        </w:trPr>
        <w:tc>
          <w:tcPr>
            <w:tcW w:type="dxa" w:w="936"/>
            <w:tcMar>
              <w:top w:w="110" w:type="dxa"/>
              <w:start w:w="120" w:type="dxa"/>
              <w:bottom w:w="110" w:type="dxa"/>
              <w:end w:w="120" w:type="dxa"/>
            </w:tcMar>
            <w:vAlign w:val="center"/>
          </w:tcPr>
          <w:p>
            <w:pPr>
              <w:spacing w:after="0"/>
              <w:jc w:val="center"/>
            </w:pPr>
            <w:r>
              <w:rPr>
                <w:sz w:val="18"/>
              </w:rPr>
              <w:t>8</w:t>
            </w:r>
          </w:p>
        </w:tc>
        <w:tc>
          <w:tcPr>
            <w:tcW w:type="dxa" w:w="4680"/>
            <w:tcMar>
              <w:top w:w="110" w:type="dxa"/>
              <w:start w:w="120" w:type="dxa"/>
              <w:bottom w:w="110" w:type="dxa"/>
              <w:end w:w="120" w:type="dxa"/>
            </w:tcMar>
            <w:vAlign w:val="center"/>
          </w:tcPr>
          <w:p>
            <w:pPr>
              <w:spacing w:after="0"/>
            </w:pPr>
            <w:r>
              <w:rPr>
                <w:sz w:val="18"/>
              </w:rPr>
              <w:t>Recall / safety action</w:t>
            </w:r>
          </w:p>
        </w:tc>
        <w:tc>
          <w:tcPr>
            <w:tcW w:type="dxa" w:w="4320"/>
            <w:tcMar>
              <w:top w:w="110" w:type="dxa"/>
              <w:start w:w="120" w:type="dxa"/>
              <w:bottom w:w="110" w:type="dxa"/>
              <w:end w:w="120" w:type="dxa"/>
            </w:tcMar>
            <w:vAlign w:val="center"/>
          </w:tcPr>
          <w:p>
            <w:pPr>
              <w:spacing w:after="0"/>
            </w:pPr>
            <w:r>
              <w:rPr>
                <w:sz w:val="18"/>
              </w:rPr>
              <w:t>Low frequency but high risk and strong traceability requirements.</w:t>
            </w:r>
          </w:p>
        </w:tc>
      </w:tr>
      <w:tr>
        <w:trPr>
          <w:cantSplit/>
        </w:trPr>
        <w:tc>
          <w:tcPr>
            <w:tcW w:type="dxa" w:w="936"/>
            <w:tcMar>
              <w:top w:w="110" w:type="dxa"/>
              <w:start w:w="120" w:type="dxa"/>
              <w:bottom w:w="110" w:type="dxa"/>
              <w:end w:w="120" w:type="dxa"/>
            </w:tcMar>
            <w:vAlign w:val="center"/>
          </w:tcPr>
          <w:p>
            <w:pPr>
              <w:spacing w:after="0"/>
              <w:jc w:val="center"/>
            </w:pPr>
            <w:r>
              <w:rPr>
                <w:sz w:val="18"/>
              </w:rPr>
              <w:t>9</w:t>
            </w:r>
          </w:p>
        </w:tc>
        <w:tc>
          <w:tcPr>
            <w:tcW w:type="dxa" w:w="4680"/>
            <w:tcMar>
              <w:top w:w="110" w:type="dxa"/>
              <w:start w:w="120" w:type="dxa"/>
              <w:bottom w:w="110" w:type="dxa"/>
              <w:end w:w="120" w:type="dxa"/>
            </w:tcMar>
            <w:vAlign w:val="center"/>
          </w:tcPr>
          <w:p>
            <w:pPr>
              <w:spacing w:after="0"/>
            </w:pPr>
            <w:r>
              <w:rPr>
                <w:sz w:val="18"/>
              </w:rPr>
              <w:t>Inventory reconciliation / missing asset</w:t>
            </w:r>
          </w:p>
        </w:tc>
        <w:tc>
          <w:tcPr>
            <w:tcW w:type="dxa" w:w="4320"/>
            <w:tcMar>
              <w:top w:w="110" w:type="dxa"/>
              <w:start w:w="120" w:type="dxa"/>
              <w:bottom w:w="110" w:type="dxa"/>
              <w:end w:w="120" w:type="dxa"/>
            </w:tcMar>
            <w:vAlign w:val="center"/>
          </w:tcPr>
          <w:p>
            <w:pPr>
              <w:spacing w:after="0"/>
            </w:pPr>
            <w:r>
              <w:rPr>
                <w:sz w:val="18"/>
              </w:rPr>
              <w:t>High value for asset control and loss reduction.</w:t>
            </w:r>
          </w:p>
        </w:tc>
      </w:tr>
      <w:tr>
        <w:trPr>
          <w:cantSplit/>
        </w:trPr>
        <w:tc>
          <w:tcPr>
            <w:tcW w:type="dxa" w:w="936"/>
            <w:tcMar>
              <w:top w:w="110" w:type="dxa"/>
              <w:start w:w="120" w:type="dxa"/>
              <w:bottom w:w="110" w:type="dxa"/>
              <w:end w:w="120" w:type="dxa"/>
            </w:tcMar>
            <w:vAlign w:val="center"/>
          </w:tcPr>
          <w:p>
            <w:pPr>
              <w:spacing w:after="0"/>
              <w:jc w:val="center"/>
            </w:pPr>
            <w:r>
              <w:rPr>
                <w:sz w:val="18"/>
              </w:rPr>
              <w:t>10</w:t>
            </w:r>
          </w:p>
        </w:tc>
        <w:tc>
          <w:tcPr>
            <w:tcW w:type="dxa" w:w="4680"/>
            <w:tcMar>
              <w:top w:w="110" w:type="dxa"/>
              <w:start w:w="120" w:type="dxa"/>
              <w:bottom w:w="110" w:type="dxa"/>
              <w:end w:w="120" w:type="dxa"/>
            </w:tcMar>
            <w:vAlign w:val="center"/>
          </w:tcPr>
          <w:p>
            <w:pPr>
              <w:spacing w:after="0"/>
            </w:pPr>
            <w:r>
              <w:rPr>
                <w:sz w:val="18"/>
              </w:rPr>
              <w:t>Asset commissioning and retirement</w:t>
            </w:r>
          </w:p>
        </w:tc>
        <w:tc>
          <w:tcPr>
            <w:tcW w:type="dxa" w:w="4320"/>
            <w:tcMar>
              <w:top w:w="110" w:type="dxa"/>
              <w:start w:w="120" w:type="dxa"/>
              <w:bottom w:w="110" w:type="dxa"/>
              <w:end w:w="120" w:type="dxa"/>
            </w:tcMar>
            <w:vAlign w:val="center"/>
          </w:tcPr>
          <w:p>
            <w:pPr>
              <w:spacing w:after="0"/>
            </w:pPr>
            <w:r>
              <w:rPr>
                <w:sz w:val="18"/>
              </w:rPr>
              <w:t>Establishes lifecycle controls and clean master data at both ends.</w:t>
            </w:r>
          </w:p>
        </w:tc>
      </w:tr>
      <w:tr>
        <w:trPr>
          <w:cantSplit/>
        </w:trPr>
        <w:tc>
          <w:tcPr>
            <w:tcW w:type="dxa" w:w="936"/>
            <w:tcMar>
              <w:top w:w="110" w:type="dxa"/>
              <w:start w:w="120" w:type="dxa"/>
              <w:bottom w:w="110" w:type="dxa"/>
              <w:end w:w="120" w:type="dxa"/>
            </w:tcMar>
            <w:vAlign w:val="center"/>
          </w:tcPr>
          <w:p>
            <w:pPr>
              <w:spacing w:after="0"/>
              <w:jc w:val="center"/>
            </w:pPr>
            <w:r>
              <w:rPr>
                <w:sz w:val="18"/>
              </w:rPr>
              <w:t>11</w:t>
            </w:r>
          </w:p>
        </w:tc>
        <w:tc>
          <w:tcPr>
            <w:tcW w:type="dxa" w:w="4680"/>
            <w:tcMar>
              <w:top w:w="110" w:type="dxa"/>
              <w:start w:w="120" w:type="dxa"/>
              <w:bottom w:w="110" w:type="dxa"/>
              <w:end w:w="120" w:type="dxa"/>
            </w:tcMar>
            <w:vAlign w:val="center"/>
          </w:tcPr>
          <w:p>
            <w:pPr>
              <w:spacing w:after="0"/>
            </w:pPr>
            <w:r>
              <w:rPr>
                <w:sz w:val="18"/>
              </w:rPr>
              <w:t>Customer-owned service intake -&gt; repair/PM -&gt; return</w:t>
            </w:r>
          </w:p>
        </w:tc>
        <w:tc>
          <w:tcPr>
            <w:tcW w:type="dxa" w:w="4320"/>
            <w:tcMar>
              <w:top w:w="110" w:type="dxa"/>
              <w:start w:w="120" w:type="dxa"/>
              <w:bottom w:w="110" w:type="dxa"/>
              <w:end w:w="120" w:type="dxa"/>
            </w:tcMar>
            <w:vAlign w:val="center"/>
          </w:tcPr>
          <w:p>
            <w:pPr>
              <w:spacing w:after="0"/>
            </w:pPr>
            <w:r>
              <w:rPr>
                <w:sz w:val="18"/>
              </w:rPr>
              <w:t>Required to scale service as a distinct business model.</w:t>
            </w:r>
          </w:p>
        </w:tc>
      </w:tr>
    </w:tbl>
    <w:p>
      <w:pPr>
        <w:pStyle w:val="Heading1"/>
      </w:pPr>
      <w:r>
        <w:t>9. Benchmark Observations</w:t>
      </w:r>
    </w:p>
    <w:p>
      <w:r>
        <w:t>The recommended catalog is consistent with the broader lifecycle approach used by medical-equipment rental, biomedical service and OEM service organizations. Benchmarking reinforces several areas that should remain explicit in the USME model:</w:t>
      </w:r>
    </w:p>
    <w:p>
      <w:pPr>
        <w:pStyle w:val="ListBullet"/>
        <w:spacing w:after="40"/>
      </w:pPr>
      <w:r>
        <w:t>Lifecycle service providers commonly treat deployment, inspection, maintenance, equipment recovery, fleet management and compliance documentation as distinct capabilities rather than a single generic service workflow.</w:t>
      </w:r>
    </w:p>
    <w:p>
      <w:pPr>
        <w:pStyle w:val="ListBullet"/>
        <w:spacing w:after="40"/>
      </w:pPr>
      <w:r>
        <w:t>OEM and independent service providers increasingly combine preventive maintenance, corrective repair, calibration, remote/technical support, backup equipment, fleet assessment and lifecycle planning.</w:t>
      </w:r>
    </w:p>
    <w:p>
      <w:pPr>
        <w:pStyle w:val="ListBullet"/>
        <w:spacing w:after="40"/>
      </w:pPr>
      <w:r>
        <w:t>Inventory audits, condition assessments, replacement planning and capital planning are natural extensions of serialized asset service history.</w:t>
      </w:r>
    </w:p>
    <w:p>
      <w:pPr>
        <w:pStyle w:val="ListBullet"/>
        <w:spacing w:after="40"/>
      </w:pPr>
      <w:r>
        <w:t>Recall/safety management, quality release and traceable maintenance evidence are important differentiators between a simple rental system and a true equipment lifecycle platform.</w:t>
      </w:r>
    </w:p>
    <w:p>
      <w:r>
        <w:t>Relevant benchmark materials previously reviewed for USME include LINET after-sales service programs, Umano Medical UmanoCares service programs, EMSAR comprehensive bed service, and public medical-equipment management/service materials from Agiliti and Med One.</w:t>
      </w:r>
    </w:p>
    <w:p>
      <w:pPr>
        <w:pStyle w:val="Heading1"/>
      </w:pPr>
      <w:r>
        <w:t>10. Recommended Next Step</w:t>
      </w:r>
    </w:p>
    <w:p>
      <w:r>
        <w:t>Use this catalog as the controlled master list. For each workflow, create a one- to two-page process definition using the standard template in Section 6, then develop the detailed process map and vendor demonstration script. The result should become both an operating-system design document and a software requirements matrix.</w:t>
      </w:r>
    </w:p>
    <w:p>
      <w:r>
        <w:t>A practical vendor evaluation should score each workflow across five questions:</w:t>
      </w:r>
    </w:p>
    <w:p>
      <w:pPr>
        <w:pStyle w:val="ListBullet"/>
        <w:spacing w:after="40"/>
      </w:pPr>
      <w:r>
        <w:t>Can the software perform the standard workflow without customization?</w:t>
      </w:r>
    </w:p>
    <w:p>
      <w:pPr>
        <w:pStyle w:val="ListBullet"/>
        <w:spacing w:after="40"/>
      </w:pPr>
      <w:r>
        <w:t>Can it handle the defined exception paths?</w:t>
      </w:r>
    </w:p>
    <w:p>
      <w:pPr>
        <w:pStyle w:val="ListBullet"/>
        <w:spacing w:after="40"/>
      </w:pPr>
      <w:r>
        <w:t>Does it preserve the required asset, custody, commercial and technical history?</w:t>
      </w:r>
    </w:p>
    <w:p>
      <w:pPr>
        <w:pStyle w:val="ListBullet"/>
        <w:spacing w:after="40"/>
      </w:pPr>
      <w:r>
        <w:t>Can frontline staff execute it quickly with minimal duplicate data entry?</w:t>
      </w:r>
    </w:p>
    <w:p>
      <w:pPr>
        <w:pStyle w:val="ListBullet"/>
        <w:spacing w:after="40"/>
      </w:pPr>
      <w:r>
        <w:t>Can management measure throughput, compliance, quality and asset productivity from the resulting data?</w:t>
      </w:r>
    </w:p>
    <w:p>
      <w:pPr>
        <w:pStyle w:val="Callout"/>
      </w:pPr>
      <w:r>
        <w:t>The objective is not simply to find software that records equipment. It is to select a platform that can enforce and measure the operating system USME wants to run.</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28282"/>
        <w:sz w:val="16"/>
      </w:rPr>
      <w:t>US Med-Equip | Equipment Lifecycle &amp; Workflow Catalog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31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B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40"/>
      <w:ind w:left="259" w:right="259"/>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Med-Equip Equipment Lifecycle &amp; Workflow Catalog</dc:title>
  <dc:subject>Rental, service, asset management and CMMS requirements framework</dc:subject>
  <dc:creator>US Med-Equip</dc:creator>
  <cp:keywords>equipment lifecycle, rental, service, CMMS, workflow, asset management</cp:keywords>
  <dc:description>generated by python-docx</dc:description>
  <cp:lastModifiedBy/>
  <cp:revision>1</cp:revision>
  <dcterms:created xsi:type="dcterms:W3CDTF">2013-12-23T23:15:00Z</dcterms:created>
  <dcterms:modified xsi:type="dcterms:W3CDTF">2013-12-23T23:15:00Z</dcterms:modified>
  <cp:category/>
</cp:coreProperties>
</file>