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79C09" w14:textId="77777777" w:rsidR="00E2217E" w:rsidRDefault="00D209BC">
      <w:pPr>
        <w:pStyle w:val="Title"/>
        <w:jc w:val="center"/>
      </w:pPr>
      <w:r>
        <w:t>Strategic Value Score</w:t>
      </w:r>
    </w:p>
    <w:p w14:paraId="3029E21B" w14:textId="77777777" w:rsidR="00E2217E" w:rsidRDefault="00D209BC">
      <w:pPr>
        <w:pStyle w:val="Heading1"/>
      </w:pPr>
      <w:r>
        <w:t>Purpose</w:t>
      </w:r>
    </w:p>
    <w:p w14:paraId="51D401AB" w14:textId="77777777" w:rsidR="00E2217E" w:rsidRDefault="00D209BC">
      <w:r>
        <w:t>The Strategic Value Score is designed to help leadership evaluate the long-term business value of a commercial opportunity. It does not determine who approves a deal or override pricing policy. Instead, it provides context to the approver once a deal has reached the appropriate approval level.</w:t>
      </w:r>
    </w:p>
    <w:p w14:paraId="4D50F17C" w14:textId="77777777" w:rsidR="00E2217E" w:rsidRDefault="00D209BC">
      <w:pPr>
        <w:pStyle w:val="Heading1"/>
      </w:pPr>
      <w:r>
        <w:t>How It Fits Within the Pricing Framework</w:t>
      </w:r>
    </w:p>
    <w:p w14:paraId="354CFF42" w14:textId="77777777" w:rsidR="00E2217E" w:rsidRDefault="00D209BC">
      <w:r>
        <w:t>The pricing authority matrix determines WHO reviews a deal based on objective criteria such as discount percentage, gross margin, deal size, contract term, and non-standard commercial concessions.</w:t>
      </w:r>
      <w:r>
        <w:br/>
      </w:r>
      <w:r>
        <w:br/>
        <w:t>The Strategic Value Score helps determine WHETHER the investment in margin is justified.</w:t>
      </w:r>
    </w:p>
    <w:p w14:paraId="65E95F51" w14:textId="77777777" w:rsidR="00E2217E" w:rsidRDefault="00D209BC">
      <w:pPr>
        <w:pStyle w:val="Heading1"/>
      </w:pPr>
      <w:r>
        <w:t>Example</w:t>
      </w:r>
    </w:p>
    <w:tbl>
      <w:tblPr>
        <w:tblStyle w:val="TableGrid"/>
        <w:tblW w:w="0" w:type="auto"/>
        <w:tblLook w:val="04A0" w:firstRow="1" w:lastRow="0" w:firstColumn="1" w:lastColumn="0" w:noHBand="0" w:noVBand="1"/>
      </w:tblPr>
      <w:tblGrid>
        <w:gridCol w:w="2877"/>
        <w:gridCol w:w="2877"/>
        <w:gridCol w:w="2876"/>
      </w:tblGrid>
      <w:tr w:rsidR="00E2217E" w14:paraId="4FDF9CF2" w14:textId="77777777">
        <w:tc>
          <w:tcPr>
            <w:tcW w:w="2880" w:type="dxa"/>
          </w:tcPr>
          <w:p w14:paraId="44FA862F" w14:textId="77777777" w:rsidR="00E2217E" w:rsidRDefault="00E2217E"/>
        </w:tc>
        <w:tc>
          <w:tcPr>
            <w:tcW w:w="2880" w:type="dxa"/>
          </w:tcPr>
          <w:p w14:paraId="59FA9828" w14:textId="77777777" w:rsidR="00E2217E" w:rsidRDefault="00D209BC">
            <w:r>
              <w:t>Deal A</w:t>
            </w:r>
          </w:p>
        </w:tc>
        <w:tc>
          <w:tcPr>
            <w:tcW w:w="2880" w:type="dxa"/>
          </w:tcPr>
          <w:p w14:paraId="7DAC23A0" w14:textId="77777777" w:rsidR="00E2217E" w:rsidRDefault="00D209BC">
            <w:r>
              <w:t>Deal B</w:t>
            </w:r>
          </w:p>
        </w:tc>
      </w:tr>
      <w:tr w:rsidR="00E2217E" w14:paraId="03345C31" w14:textId="77777777">
        <w:tc>
          <w:tcPr>
            <w:tcW w:w="2880" w:type="dxa"/>
          </w:tcPr>
          <w:p w14:paraId="5094D870" w14:textId="77777777" w:rsidR="00E2217E" w:rsidRDefault="00D209BC">
            <w:r>
              <w:t>Discount</w:t>
            </w:r>
          </w:p>
        </w:tc>
        <w:tc>
          <w:tcPr>
            <w:tcW w:w="2880" w:type="dxa"/>
          </w:tcPr>
          <w:p w14:paraId="7940296F" w14:textId="77777777" w:rsidR="00E2217E" w:rsidRDefault="00D209BC">
            <w:r>
              <w:t>10%</w:t>
            </w:r>
          </w:p>
        </w:tc>
        <w:tc>
          <w:tcPr>
            <w:tcW w:w="2880" w:type="dxa"/>
          </w:tcPr>
          <w:p w14:paraId="2D8284FB" w14:textId="77777777" w:rsidR="00E2217E" w:rsidRDefault="00D209BC">
            <w:r>
              <w:t>10%</w:t>
            </w:r>
          </w:p>
        </w:tc>
      </w:tr>
      <w:tr w:rsidR="00E2217E" w14:paraId="2BFAA1D2" w14:textId="77777777">
        <w:tc>
          <w:tcPr>
            <w:tcW w:w="2880" w:type="dxa"/>
          </w:tcPr>
          <w:p w14:paraId="0AC17076" w14:textId="77777777" w:rsidR="00E2217E" w:rsidRDefault="00D209BC">
            <w:r>
              <w:t>Margin</w:t>
            </w:r>
          </w:p>
        </w:tc>
        <w:tc>
          <w:tcPr>
            <w:tcW w:w="2880" w:type="dxa"/>
          </w:tcPr>
          <w:p w14:paraId="3A041C3D" w14:textId="77777777" w:rsidR="00E2217E" w:rsidRDefault="00D209BC">
            <w:r>
              <w:t>46%</w:t>
            </w:r>
          </w:p>
        </w:tc>
        <w:tc>
          <w:tcPr>
            <w:tcW w:w="2880" w:type="dxa"/>
          </w:tcPr>
          <w:p w14:paraId="4ABC1190" w14:textId="77777777" w:rsidR="00E2217E" w:rsidRDefault="00D209BC">
            <w:r>
              <w:t>46%</w:t>
            </w:r>
          </w:p>
        </w:tc>
      </w:tr>
      <w:tr w:rsidR="00E2217E" w14:paraId="4AA48A61" w14:textId="77777777">
        <w:tc>
          <w:tcPr>
            <w:tcW w:w="2880" w:type="dxa"/>
          </w:tcPr>
          <w:p w14:paraId="491ECD54" w14:textId="77777777" w:rsidR="00E2217E" w:rsidRDefault="00D209BC">
            <w:r>
              <w:t>Annual Revenue</w:t>
            </w:r>
          </w:p>
        </w:tc>
        <w:tc>
          <w:tcPr>
            <w:tcW w:w="2880" w:type="dxa"/>
          </w:tcPr>
          <w:p w14:paraId="3DB7F9C4" w14:textId="77777777" w:rsidR="00E2217E" w:rsidRDefault="00D209BC">
            <w:r>
              <w:t>$300K</w:t>
            </w:r>
          </w:p>
        </w:tc>
        <w:tc>
          <w:tcPr>
            <w:tcW w:w="2880" w:type="dxa"/>
          </w:tcPr>
          <w:p w14:paraId="55F59D68" w14:textId="77777777" w:rsidR="00E2217E" w:rsidRDefault="00D209BC">
            <w:r>
              <w:t>$300K</w:t>
            </w:r>
          </w:p>
        </w:tc>
      </w:tr>
      <w:tr w:rsidR="00E2217E" w14:paraId="2B6A23F6" w14:textId="77777777">
        <w:tc>
          <w:tcPr>
            <w:tcW w:w="2880" w:type="dxa"/>
          </w:tcPr>
          <w:p w14:paraId="255D7EC9" w14:textId="77777777" w:rsidR="00E2217E" w:rsidRDefault="00D209BC">
            <w:r>
              <w:t>Opportunity</w:t>
            </w:r>
          </w:p>
        </w:tc>
        <w:tc>
          <w:tcPr>
            <w:tcW w:w="2880" w:type="dxa"/>
          </w:tcPr>
          <w:p w14:paraId="0ED5ACCE" w14:textId="77777777" w:rsidR="00E2217E" w:rsidRDefault="00D209BC">
            <w:r>
              <w:t>Existing account, one department</w:t>
            </w:r>
          </w:p>
        </w:tc>
        <w:tc>
          <w:tcPr>
            <w:tcW w:w="2880" w:type="dxa"/>
          </w:tcPr>
          <w:p w14:paraId="36530EC3" w14:textId="77777777" w:rsidR="00E2217E" w:rsidRDefault="00D209BC">
            <w:r>
              <w:t>New IDN with 18 hospitals, Imaging, BTS &amp; Services expansion</w:t>
            </w:r>
          </w:p>
        </w:tc>
      </w:tr>
    </w:tbl>
    <w:p w14:paraId="21F25508" w14:textId="77777777" w:rsidR="00E2217E" w:rsidRDefault="00D209BC">
      <w:r>
        <w:t>Although the financial characteristics are identical, the long-term strategic value is dramatically different. The Strategic Value Score helps the Deal Desk and executives distinguish between these two investments.</w:t>
      </w:r>
    </w:p>
    <w:p w14:paraId="68B4E461" w14:textId="77777777" w:rsidR="00E2217E" w:rsidRDefault="00D209BC">
      <w:pPr>
        <w:pStyle w:val="Heading1"/>
      </w:pPr>
      <w:r>
        <w:t>Recommended Scoring Model (20 Points Maximum)</w:t>
      </w:r>
    </w:p>
    <w:tbl>
      <w:tblPr>
        <w:tblStyle w:val="TableGrid"/>
        <w:tblW w:w="0" w:type="auto"/>
        <w:tblLook w:val="04A0" w:firstRow="1" w:lastRow="0" w:firstColumn="1" w:lastColumn="0" w:noHBand="0" w:noVBand="1"/>
      </w:tblPr>
      <w:tblGrid>
        <w:gridCol w:w="4316"/>
        <w:gridCol w:w="4314"/>
      </w:tblGrid>
      <w:tr w:rsidR="00E2217E" w14:paraId="079CEEFD" w14:textId="77777777">
        <w:tc>
          <w:tcPr>
            <w:tcW w:w="4320" w:type="dxa"/>
          </w:tcPr>
          <w:p w14:paraId="7EAA3A39" w14:textId="77777777" w:rsidR="00E2217E" w:rsidRDefault="00D209BC">
            <w:r>
              <w:t>Strategic Driver</w:t>
            </w:r>
          </w:p>
        </w:tc>
        <w:tc>
          <w:tcPr>
            <w:tcW w:w="4320" w:type="dxa"/>
          </w:tcPr>
          <w:p w14:paraId="63888681" w14:textId="77777777" w:rsidR="00E2217E" w:rsidRDefault="00D209BC">
            <w:r>
              <w:t>Points</w:t>
            </w:r>
          </w:p>
        </w:tc>
      </w:tr>
      <w:tr w:rsidR="00E2217E" w14:paraId="05C29C98" w14:textId="77777777">
        <w:tc>
          <w:tcPr>
            <w:tcW w:w="4320" w:type="dxa"/>
          </w:tcPr>
          <w:p w14:paraId="2A891782" w14:textId="77777777" w:rsidR="00E2217E" w:rsidRDefault="00D209BC">
            <w:r>
              <w:t>Net-New Customer</w:t>
            </w:r>
          </w:p>
        </w:tc>
        <w:tc>
          <w:tcPr>
            <w:tcW w:w="4320" w:type="dxa"/>
          </w:tcPr>
          <w:p w14:paraId="6857A786" w14:textId="77777777" w:rsidR="00E2217E" w:rsidRDefault="00D209BC">
            <w:r>
              <w:t>0–3</w:t>
            </w:r>
          </w:p>
        </w:tc>
      </w:tr>
      <w:tr w:rsidR="00E2217E" w14:paraId="46C1FB83" w14:textId="77777777">
        <w:tc>
          <w:tcPr>
            <w:tcW w:w="4320" w:type="dxa"/>
          </w:tcPr>
          <w:p w14:paraId="15FE2FB0" w14:textId="77777777" w:rsidR="00E2217E" w:rsidRDefault="00D209BC">
            <w:r>
              <w:t>IDN Expansion Opportunity</w:t>
            </w:r>
          </w:p>
        </w:tc>
        <w:tc>
          <w:tcPr>
            <w:tcW w:w="4320" w:type="dxa"/>
          </w:tcPr>
          <w:p w14:paraId="53783CD1" w14:textId="77777777" w:rsidR="00E2217E" w:rsidRDefault="00D209BC">
            <w:r>
              <w:t>0–3</w:t>
            </w:r>
          </w:p>
        </w:tc>
      </w:tr>
      <w:tr w:rsidR="00E2217E" w14:paraId="4CFBDC91" w14:textId="77777777">
        <w:tc>
          <w:tcPr>
            <w:tcW w:w="4320" w:type="dxa"/>
          </w:tcPr>
          <w:p w14:paraId="1ADAA569" w14:textId="77777777" w:rsidR="00E2217E" w:rsidRDefault="00D209BC">
            <w:r>
              <w:t>Cross-Sell Opportunity</w:t>
            </w:r>
          </w:p>
        </w:tc>
        <w:tc>
          <w:tcPr>
            <w:tcW w:w="4320" w:type="dxa"/>
          </w:tcPr>
          <w:p w14:paraId="5108784C" w14:textId="77777777" w:rsidR="00E2217E" w:rsidRDefault="00D209BC">
            <w:r>
              <w:t>0–3</w:t>
            </w:r>
          </w:p>
        </w:tc>
      </w:tr>
      <w:tr w:rsidR="00E2217E" w14:paraId="20F5021C" w14:textId="77777777">
        <w:tc>
          <w:tcPr>
            <w:tcW w:w="4320" w:type="dxa"/>
          </w:tcPr>
          <w:p w14:paraId="75498229" w14:textId="77777777" w:rsidR="00E2217E" w:rsidRDefault="00D209BC">
            <w:r>
              <w:t>Competitive Displacement</w:t>
            </w:r>
          </w:p>
        </w:tc>
        <w:tc>
          <w:tcPr>
            <w:tcW w:w="4320" w:type="dxa"/>
          </w:tcPr>
          <w:p w14:paraId="201356C8" w14:textId="77777777" w:rsidR="00E2217E" w:rsidRDefault="00D209BC">
            <w:r>
              <w:t>0–2</w:t>
            </w:r>
          </w:p>
        </w:tc>
      </w:tr>
      <w:tr w:rsidR="00E2217E" w14:paraId="034A9F3A" w14:textId="77777777">
        <w:tc>
          <w:tcPr>
            <w:tcW w:w="4320" w:type="dxa"/>
          </w:tcPr>
          <w:p w14:paraId="725EC2A3" w14:textId="77777777" w:rsidR="00E2217E" w:rsidRDefault="00D209BC">
            <w:r>
              <w:t>Long-Term Revenue Potential</w:t>
            </w:r>
          </w:p>
        </w:tc>
        <w:tc>
          <w:tcPr>
            <w:tcW w:w="4320" w:type="dxa"/>
          </w:tcPr>
          <w:p w14:paraId="385DD895" w14:textId="77777777" w:rsidR="00E2217E" w:rsidRDefault="00D209BC">
            <w:r>
              <w:t>0–3</w:t>
            </w:r>
          </w:p>
        </w:tc>
      </w:tr>
      <w:tr w:rsidR="00E2217E" w14:paraId="7AE01E32" w14:textId="77777777">
        <w:tc>
          <w:tcPr>
            <w:tcW w:w="4320" w:type="dxa"/>
          </w:tcPr>
          <w:p w14:paraId="60CB3867" w14:textId="77777777" w:rsidR="00E2217E" w:rsidRDefault="00D209BC">
            <w:r>
              <w:t>Reference Value</w:t>
            </w:r>
          </w:p>
        </w:tc>
        <w:tc>
          <w:tcPr>
            <w:tcW w:w="4320" w:type="dxa"/>
          </w:tcPr>
          <w:p w14:paraId="6F3FBA6F" w14:textId="77777777" w:rsidR="00E2217E" w:rsidRDefault="00D209BC">
            <w:r>
              <w:t>0–2</w:t>
            </w:r>
          </w:p>
        </w:tc>
      </w:tr>
      <w:tr w:rsidR="00E2217E" w14:paraId="1C50A794" w14:textId="77777777">
        <w:tc>
          <w:tcPr>
            <w:tcW w:w="4320" w:type="dxa"/>
          </w:tcPr>
          <w:p w14:paraId="02F35755" w14:textId="77777777" w:rsidR="00E2217E" w:rsidRDefault="00D209BC">
            <w:r>
              <w:t>Fleet Utilization Benefit</w:t>
            </w:r>
          </w:p>
        </w:tc>
        <w:tc>
          <w:tcPr>
            <w:tcW w:w="4320" w:type="dxa"/>
          </w:tcPr>
          <w:p w14:paraId="4C6A1266" w14:textId="77777777" w:rsidR="00E2217E" w:rsidRDefault="00D209BC">
            <w:r>
              <w:t>0–2</w:t>
            </w:r>
          </w:p>
        </w:tc>
      </w:tr>
      <w:tr w:rsidR="00E2217E" w14:paraId="7BD9421B" w14:textId="77777777">
        <w:tc>
          <w:tcPr>
            <w:tcW w:w="4320" w:type="dxa"/>
          </w:tcPr>
          <w:p w14:paraId="5D399F0C" w14:textId="77777777" w:rsidR="00E2217E" w:rsidRDefault="00D209BC">
            <w:r>
              <w:t>Executive Strategic Initiative</w:t>
            </w:r>
          </w:p>
        </w:tc>
        <w:tc>
          <w:tcPr>
            <w:tcW w:w="4320" w:type="dxa"/>
          </w:tcPr>
          <w:p w14:paraId="069777BD" w14:textId="77777777" w:rsidR="00E2217E" w:rsidRDefault="00D209BC">
            <w:r>
              <w:t>0–2</w:t>
            </w:r>
          </w:p>
        </w:tc>
      </w:tr>
    </w:tbl>
    <w:p w14:paraId="58CA0BB4" w14:textId="77777777" w:rsidR="00E2217E" w:rsidRDefault="00D209BC">
      <w:pPr>
        <w:pStyle w:val="Heading2"/>
      </w:pPr>
      <w:r>
        <w:lastRenderedPageBreak/>
        <w:t>Net-New Customer</w:t>
      </w:r>
    </w:p>
    <w:p w14:paraId="5A2FE902" w14:textId="77777777" w:rsidR="00E2217E" w:rsidRDefault="00D209BC">
      <w:r>
        <w:t>0 Existing customer</w:t>
      </w:r>
      <w:r>
        <w:br/>
        <w:t>1 New department</w:t>
      </w:r>
      <w:r>
        <w:br/>
        <w:t>2 New hospital</w:t>
      </w:r>
      <w:r>
        <w:br/>
        <w:t>3 New IDN</w:t>
      </w:r>
    </w:p>
    <w:p w14:paraId="7B0ACBC9" w14:textId="77777777" w:rsidR="00E2217E" w:rsidRDefault="00D209BC">
      <w:pPr>
        <w:pStyle w:val="Heading2"/>
      </w:pPr>
      <w:r>
        <w:t>IDN Expansion Opportunity</w:t>
      </w:r>
    </w:p>
    <w:p w14:paraId="6838EAF5" w14:textId="77777777" w:rsidR="00E2217E" w:rsidRDefault="00D209BC">
      <w:r>
        <w:t>0 Single location</w:t>
      </w:r>
      <w:r>
        <w:br/>
        <w:t>1 Two locations</w:t>
      </w:r>
      <w:r>
        <w:br/>
        <w:t>2 Regional rollout</w:t>
      </w:r>
      <w:r>
        <w:br/>
        <w:t>3 Enterprise health system</w:t>
      </w:r>
    </w:p>
    <w:p w14:paraId="6A9AAC77" w14:textId="77777777" w:rsidR="00E2217E" w:rsidRDefault="00D209BC">
      <w:pPr>
        <w:pStyle w:val="Heading2"/>
      </w:pPr>
      <w:r>
        <w:t>Cross-Sell Opportunity</w:t>
      </w:r>
    </w:p>
    <w:p w14:paraId="4AD74DE9" w14:textId="77777777" w:rsidR="00E2217E" w:rsidRDefault="00D209BC">
      <w:r>
        <w:t>0 Single product</w:t>
      </w:r>
      <w:r>
        <w:br/>
        <w:t>1 One additional category</w:t>
      </w:r>
      <w:r>
        <w:br/>
        <w:t>2 Multiple categories</w:t>
      </w:r>
      <w:r>
        <w:br/>
        <w:t>3 Enterprise solution (MME + BTS + Imaging + Services)</w:t>
      </w:r>
    </w:p>
    <w:p w14:paraId="40D4C713" w14:textId="77777777" w:rsidR="00E2217E" w:rsidRDefault="00D209BC">
      <w:pPr>
        <w:pStyle w:val="Heading2"/>
      </w:pPr>
      <w:r>
        <w:t>Competitive Displacement</w:t>
      </w:r>
    </w:p>
    <w:p w14:paraId="3DE5FF2A" w14:textId="77777777" w:rsidR="00E2217E" w:rsidRDefault="00D209BC">
      <w:r>
        <w:t>0 None</w:t>
      </w:r>
      <w:r>
        <w:br/>
        <w:t>1 Small/regional competitor</w:t>
      </w:r>
      <w:r>
        <w:br/>
        <w:t>2 Major strategic competitor</w:t>
      </w:r>
    </w:p>
    <w:p w14:paraId="3B7AD13D" w14:textId="77777777" w:rsidR="00E2217E" w:rsidRDefault="00D209BC">
      <w:pPr>
        <w:pStyle w:val="Heading2"/>
      </w:pPr>
      <w:r>
        <w:t>Long-Term Revenue Potential</w:t>
      </w:r>
    </w:p>
    <w:p w14:paraId="71B9E8F9" w14:textId="77777777" w:rsidR="00E2217E" w:rsidRDefault="00D209BC">
      <w:r>
        <w:t>0 One-time opportunity</w:t>
      </w:r>
      <w:r>
        <w:br/>
        <w:t>1 &lt;$250K future potential</w:t>
      </w:r>
      <w:r>
        <w:br/>
        <w:t>2 $250K–$1M potential</w:t>
      </w:r>
      <w:r>
        <w:br/>
        <w:t>3 &gt;$1M future opportunity</w:t>
      </w:r>
    </w:p>
    <w:p w14:paraId="042B942B" w14:textId="77777777" w:rsidR="00E2217E" w:rsidRDefault="00D209BC">
      <w:pPr>
        <w:pStyle w:val="Heading2"/>
      </w:pPr>
      <w:r>
        <w:t>Reference Value</w:t>
      </w:r>
    </w:p>
    <w:p w14:paraId="16DFE4E7" w14:textId="77777777" w:rsidR="00E2217E" w:rsidRDefault="00D209BC">
      <w:r>
        <w:t>0 None</w:t>
      </w:r>
      <w:r>
        <w:br/>
        <w:t>1 Regional reference</w:t>
      </w:r>
      <w:r>
        <w:br/>
        <w:t>2 National reference account</w:t>
      </w:r>
    </w:p>
    <w:p w14:paraId="265D3CFF" w14:textId="77777777" w:rsidR="00E2217E" w:rsidRDefault="00D209BC">
      <w:pPr>
        <w:pStyle w:val="Heading2"/>
      </w:pPr>
      <w:r>
        <w:t>Fleet Utilization Benefit</w:t>
      </w:r>
    </w:p>
    <w:p w14:paraId="61F9DCA0" w14:textId="77777777" w:rsidR="00E2217E" w:rsidRDefault="00D209BC">
      <w:r>
        <w:t>0 None</w:t>
      </w:r>
      <w:r>
        <w:br/>
      </w:r>
      <w:r>
        <w:t>1 Improves deployment</w:t>
      </w:r>
      <w:r>
        <w:br/>
        <w:t>2 Significant utilization improvement</w:t>
      </w:r>
    </w:p>
    <w:p w14:paraId="4991C5BC" w14:textId="77777777" w:rsidR="00E2217E" w:rsidRDefault="00D209BC">
      <w:pPr>
        <w:pStyle w:val="Heading2"/>
      </w:pPr>
      <w:r>
        <w:t>Executive Strategic Initiative</w:t>
      </w:r>
    </w:p>
    <w:p w14:paraId="785B8E71" w14:textId="77777777" w:rsidR="00E2217E" w:rsidRDefault="00D209BC">
      <w:r>
        <w:t>0 None</w:t>
      </w:r>
      <w:r>
        <w:br/>
        <w:t>1 Supports a corporate priority</w:t>
      </w:r>
      <w:r>
        <w:br/>
        <w:t>2 Direct CEO/CRO initiative</w:t>
      </w:r>
    </w:p>
    <w:p w14:paraId="6B747A63" w14:textId="77777777" w:rsidR="00E2217E" w:rsidRDefault="00D209BC">
      <w:pPr>
        <w:pStyle w:val="Heading1"/>
      </w:pPr>
      <w:r>
        <w:lastRenderedPageBreak/>
        <w:t>Interpreting the Score</w:t>
      </w:r>
    </w:p>
    <w:tbl>
      <w:tblPr>
        <w:tblStyle w:val="TableGrid"/>
        <w:tblW w:w="0" w:type="auto"/>
        <w:tblLook w:val="04A0" w:firstRow="1" w:lastRow="0" w:firstColumn="1" w:lastColumn="0" w:noHBand="0" w:noVBand="1"/>
      </w:tblPr>
      <w:tblGrid>
        <w:gridCol w:w="4314"/>
        <w:gridCol w:w="4316"/>
      </w:tblGrid>
      <w:tr w:rsidR="00E2217E" w14:paraId="5677E432" w14:textId="77777777">
        <w:tc>
          <w:tcPr>
            <w:tcW w:w="4320" w:type="dxa"/>
          </w:tcPr>
          <w:p w14:paraId="6E88132F" w14:textId="77777777" w:rsidR="00E2217E" w:rsidRDefault="00D209BC">
            <w:r>
              <w:t>Score</w:t>
            </w:r>
          </w:p>
        </w:tc>
        <w:tc>
          <w:tcPr>
            <w:tcW w:w="4320" w:type="dxa"/>
          </w:tcPr>
          <w:p w14:paraId="7554EF94" w14:textId="77777777" w:rsidR="00E2217E" w:rsidRDefault="00D209BC">
            <w:r>
              <w:t>Meaning</w:t>
            </w:r>
          </w:p>
        </w:tc>
      </w:tr>
      <w:tr w:rsidR="00E2217E" w14:paraId="2F7D1C79" w14:textId="77777777">
        <w:tc>
          <w:tcPr>
            <w:tcW w:w="4320" w:type="dxa"/>
          </w:tcPr>
          <w:p w14:paraId="507A2D80" w14:textId="77777777" w:rsidR="00E2217E" w:rsidRDefault="00D209BC">
            <w:r>
              <w:t>0–5</w:t>
            </w:r>
          </w:p>
        </w:tc>
        <w:tc>
          <w:tcPr>
            <w:tcW w:w="4320" w:type="dxa"/>
          </w:tcPr>
          <w:p w14:paraId="7A307172" w14:textId="77777777" w:rsidR="00E2217E" w:rsidRDefault="00D209BC">
            <w:r>
              <w:t>Low Strategic Value</w:t>
            </w:r>
          </w:p>
        </w:tc>
      </w:tr>
      <w:tr w:rsidR="00E2217E" w14:paraId="56B911F3" w14:textId="77777777">
        <w:tc>
          <w:tcPr>
            <w:tcW w:w="4320" w:type="dxa"/>
          </w:tcPr>
          <w:p w14:paraId="6DBA23BF" w14:textId="77777777" w:rsidR="00E2217E" w:rsidRDefault="00D209BC">
            <w:r>
              <w:t>6–10</w:t>
            </w:r>
          </w:p>
        </w:tc>
        <w:tc>
          <w:tcPr>
            <w:tcW w:w="4320" w:type="dxa"/>
          </w:tcPr>
          <w:p w14:paraId="18FA55C4" w14:textId="77777777" w:rsidR="00E2217E" w:rsidRDefault="00D209BC">
            <w:r>
              <w:t>Moderate Strategic Value</w:t>
            </w:r>
          </w:p>
        </w:tc>
      </w:tr>
      <w:tr w:rsidR="00E2217E" w14:paraId="3B027FEB" w14:textId="77777777">
        <w:tc>
          <w:tcPr>
            <w:tcW w:w="4320" w:type="dxa"/>
          </w:tcPr>
          <w:p w14:paraId="14F277A3" w14:textId="77777777" w:rsidR="00E2217E" w:rsidRDefault="00D209BC">
            <w:r>
              <w:t>11–15</w:t>
            </w:r>
          </w:p>
        </w:tc>
        <w:tc>
          <w:tcPr>
            <w:tcW w:w="4320" w:type="dxa"/>
          </w:tcPr>
          <w:p w14:paraId="34E47252" w14:textId="77777777" w:rsidR="00E2217E" w:rsidRDefault="00D209BC">
            <w:r>
              <w:t>High Strategic Value</w:t>
            </w:r>
          </w:p>
        </w:tc>
      </w:tr>
      <w:tr w:rsidR="00E2217E" w14:paraId="680572A3" w14:textId="77777777">
        <w:tc>
          <w:tcPr>
            <w:tcW w:w="4320" w:type="dxa"/>
          </w:tcPr>
          <w:p w14:paraId="69F222D3" w14:textId="77777777" w:rsidR="00E2217E" w:rsidRDefault="00D209BC">
            <w:r>
              <w:t>16–20</w:t>
            </w:r>
          </w:p>
        </w:tc>
        <w:tc>
          <w:tcPr>
            <w:tcW w:w="4320" w:type="dxa"/>
          </w:tcPr>
          <w:p w14:paraId="092EEB4C" w14:textId="77777777" w:rsidR="00E2217E" w:rsidRDefault="00D209BC">
            <w:r>
              <w:t>Transformational Opportunity</w:t>
            </w:r>
          </w:p>
        </w:tc>
      </w:tr>
    </w:tbl>
    <w:p w14:paraId="340BC19D" w14:textId="77777777" w:rsidR="00E2217E" w:rsidRDefault="00D209BC">
      <w:pPr>
        <w:pStyle w:val="Heading1"/>
      </w:pPr>
      <w:r>
        <w:t>How Leadership Should Use the Score</w:t>
      </w:r>
    </w:p>
    <w:p w14:paraId="420F7B2D" w14:textId="77777777" w:rsidR="00E2217E" w:rsidRDefault="00D209BC">
      <w:r>
        <w:t>The Strategic Value Score should never reduce the required approval level or allow a deal to bypass the margin floor. Instead, it should guide the discussion once the appropriate approver is reviewing the opportunity.</w:t>
      </w:r>
      <w:r>
        <w:br/>
      </w:r>
      <w:r>
        <w:br/>
        <w:t>For example:</w:t>
      </w:r>
      <w:r>
        <w:br/>
        <w:t>• A deal with a 9% discount and a Strategic Value Score of 17 may represent a compelling investment because it opens a large IDN, creates cross-sell opportunities, and has significant future revenue potential.</w:t>
      </w:r>
      <w:r>
        <w:br/>
        <w:t>• Another deal with the same discount but a Strategic Value Score of 3 should prompt leadership to ask why so much margin is being invested when the long-term upside appears limited.</w:t>
      </w:r>
    </w:p>
    <w:p w14:paraId="66F550B3" w14:textId="77777777" w:rsidR="00E2217E" w:rsidRDefault="00D209BC">
      <w:pPr>
        <w:pStyle w:val="Heading1"/>
      </w:pPr>
      <w:r>
        <w:t>Recommendation</w:t>
      </w:r>
    </w:p>
    <w:p w14:paraId="6C25DDAF" w14:textId="77777777" w:rsidR="00E2217E" w:rsidRDefault="00D209BC">
      <w:r>
        <w:t>Initially, use the Strategic Value Score for executive context, reporting, and analytics—not for automated workflow routing. After sufficient data has been collected, USME can evaluate whether the score should influence future pricing governance. This approach maintains pricing discipline while giving leadership better visibility into where margin is being strategically invested.</w:t>
      </w:r>
    </w:p>
    <w:sectPr w:rsidR="00E221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6755122">
    <w:abstractNumId w:val="8"/>
  </w:num>
  <w:num w:numId="2" w16cid:durableId="1975017102">
    <w:abstractNumId w:val="6"/>
  </w:num>
  <w:num w:numId="3" w16cid:durableId="183714461">
    <w:abstractNumId w:val="5"/>
  </w:num>
  <w:num w:numId="4" w16cid:durableId="1699962046">
    <w:abstractNumId w:val="4"/>
  </w:num>
  <w:num w:numId="5" w16cid:durableId="1086537857">
    <w:abstractNumId w:val="7"/>
  </w:num>
  <w:num w:numId="6" w16cid:durableId="1001278298">
    <w:abstractNumId w:val="3"/>
  </w:num>
  <w:num w:numId="7" w16cid:durableId="1165629315">
    <w:abstractNumId w:val="2"/>
  </w:num>
  <w:num w:numId="8" w16cid:durableId="1700158876">
    <w:abstractNumId w:val="1"/>
  </w:num>
  <w:num w:numId="9" w16cid:durableId="1895387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4D3D"/>
    <w:rsid w:val="00AA1D8D"/>
    <w:rsid w:val="00B47730"/>
    <w:rsid w:val="00CB0664"/>
    <w:rsid w:val="00D209BC"/>
    <w:rsid w:val="00E2217E"/>
    <w:rsid w:val="00E303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14D8F"/>
  <w14:defaultImageDpi w14:val="300"/>
  <w15:docId w15:val="{BAFE5439-B38D-40F3-BAA9-F819A3C1D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501</Words>
  <Characters>2886</Characters>
  <Application>Microsoft Office Word</Application>
  <DocSecurity>0</DocSecurity>
  <Lines>120</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Doug Murray</cp:lastModifiedBy>
  <cp:revision>2</cp:revision>
  <dcterms:created xsi:type="dcterms:W3CDTF">2026-07-14T23:44:00Z</dcterms:created>
  <dcterms:modified xsi:type="dcterms:W3CDTF">2026-07-14T23:44:00Z</dcterms:modified>
  <cp:category/>
</cp:coreProperties>
</file>