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Minutes of Meeting</w:t>
      </w:r>
    </w:p>
    <w:p>
      <w:pPr>
        <w:spacing w:after="100"/>
      </w:pPr>
      <w:r>
        <w:rPr>
          <w:b/>
          <w:bCs/>
        </w:rPr>
        <w:t xml:space="preserve">Rootstock (Ascent Team) Working Session — Day 2: Licensing Model, Product Sync, Shield, PHI Governance &amp; Billing Architecture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9E2F3" w:color="auto" w:val="clear"/>
            <w:tcMar>
              <w:top w:type="dxa" w:w="80"/>
              <w:left w:type="dxa" w:w="100"/>
              <w:bottom w:type="dxa" w:w="80"/>
              <w:right w:type="dxa" w:w="100"/>
            </w:tcMar>
          </w:tcPr>
          <w:p>
            <w:r>
              <w:rPr>
                <w:b/>
                <w:bCs/>
              </w:rPr>
              <w:t xml:space="preserve">Field</w:t>
            </w:r>
          </w:p>
        </w:tc>
        <w:tc>
          <w:tcPr>
            <w:tcW w:type="dxa" w:w="7400"/>
            <w:shd w:fill="D9E2F3" w:color="auto" w:val="clear"/>
            <w:tcMar>
              <w:top w:type="dxa" w:w="80"/>
              <w:left w:type="dxa" w:w="100"/>
              <w:bottom w:type="dxa" w:w="80"/>
              <w:right w:type="dxa" w:w="100"/>
            </w:tcMar>
          </w:tcPr>
          <w:p>
            <w:r>
              <w:rPr>
                <w:b/>
                <w:bCs/>
              </w:rPr>
              <w:t xml:space="preserve">Detail</w:t>
            </w:r>
          </w:p>
        </w:tc>
      </w:tr>
      <w:tr>
        <w:tc>
          <w:tcPr>
            <w:tcW w:type="dxa" w:w="2600"/>
            <w:tcMar>
              <w:top w:type="dxa" w:w="80"/>
              <w:left w:type="dxa" w:w="100"/>
              <w:bottom w:type="dxa" w:w="80"/>
              <w:right w:type="dxa" w:w="100"/>
            </w:tcMar>
          </w:tcPr>
          <w:p>
            <w:r>
              <w:rPr>
                <w:b w:val="false"/>
                <w:bCs w:val="false"/>
              </w:rPr>
              <w:t xml:space="preserve">Date</w:t>
            </w:r>
          </w:p>
        </w:tc>
        <w:tc>
          <w:tcPr>
            <w:tcW w:type="dxa" w:w="7400"/>
            <w:tcMar>
              <w:top w:type="dxa" w:w="80"/>
              <w:left w:type="dxa" w:w="100"/>
              <w:bottom w:type="dxa" w:w="80"/>
              <w:right w:type="dxa" w:w="100"/>
            </w:tcMar>
          </w:tcPr>
          <w:p>
            <w:r>
              <w:rPr>
                <w:b w:val="false"/>
                <w:bCs w:val="false"/>
              </w:rPr>
              <w:t xml:space="preserve">Tuesday, August 25, 2026</w:t>
            </w:r>
          </w:p>
        </w:tc>
      </w:tr>
      <w:tr>
        <w:tc>
          <w:tcPr>
            <w:tcW w:type="dxa" w:w="2600"/>
            <w:tcMar>
              <w:top w:type="dxa" w:w="80"/>
              <w:left w:type="dxa" w:w="100"/>
              <w:bottom w:type="dxa" w:w="80"/>
              <w:right w:type="dxa" w:w="100"/>
            </w:tcMar>
          </w:tcPr>
          <w:p>
            <w:r>
              <w:rPr>
                <w:b w:val="false"/>
                <w:bCs w:val="false"/>
              </w:rPr>
              <w:t xml:space="preserve">Subject</w:t>
            </w:r>
          </w:p>
        </w:tc>
        <w:tc>
          <w:tcPr>
            <w:tcW w:type="dxa" w:w="7400"/>
            <w:tcMar>
              <w:top w:type="dxa" w:w="80"/>
              <w:left w:type="dxa" w:w="100"/>
              <w:bottom w:type="dxa" w:w="80"/>
              <w:right w:type="dxa" w:w="100"/>
            </w:tcMar>
          </w:tcPr>
          <w:p>
            <w:r>
              <w:rPr>
                <w:b w:val="false"/>
                <w:bCs w:val="false"/>
              </w:rPr>
              <w:t xml:space="preserve">Second of three working sessions with Rootstock's Ascent team, continuing from Monday: confirming the Enterprise-based licensing model, product master sync, Salesforce Shield behavior, PHI/HIPAA data governance for non-production environments, and the open question of PHI tokenization for the Salesforce-to-Go-Transfers billing hand-off.</w:t>
            </w:r>
          </w:p>
        </w:tc>
      </w:tr>
      <w:tr>
        <w:tc>
          <w:tcPr>
            <w:tcW w:type="dxa" w:w="2600"/>
            <w:tcMar>
              <w:top w:type="dxa" w:w="80"/>
              <w:left w:type="dxa" w:w="100"/>
              <w:bottom w:type="dxa" w:w="80"/>
              <w:right w:type="dxa" w:w="100"/>
            </w:tcMar>
          </w:tcPr>
          <w:p>
            <w:r>
              <w:rPr>
                <w:b w:val="false"/>
                <w:bCs w:val="false"/>
              </w:rPr>
              <w:t xml:space="preserve">Attendees — Rootstock (Ascent Team)</w:t>
            </w:r>
          </w:p>
        </w:tc>
        <w:tc>
          <w:tcPr>
            <w:tcW w:type="dxa" w:w="7400"/>
            <w:tcMar>
              <w:top w:type="dxa" w:w="80"/>
              <w:left w:type="dxa" w:w="100"/>
              <w:bottom w:type="dxa" w:w="80"/>
              <w:right w:type="dxa" w:w="100"/>
            </w:tcMar>
          </w:tcPr>
          <w:p>
            <w:r>
              <w:rPr>
                <w:b w:val="false"/>
                <w:bCs w:val="false"/>
              </w:rPr>
              <w:t xml:space="preserve">Brian (Product Team), Charlie, plus additional Rootstock representatives on the call</w:t>
            </w:r>
          </w:p>
        </w:tc>
      </w:tr>
      <w:tr>
        <w:tc>
          <w:tcPr>
            <w:tcW w:type="dxa" w:w="2600"/>
            <w:tcMar>
              <w:top w:type="dxa" w:w="80"/>
              <w:left w:type="dxa" w:w="100"/>
              <w:bottom w:type="dxa" w:w="80"/>
              <w:right w:type="dxa" w:w="100"/>
            </w:tcMar>
          </w:tcPr>
          <w:p>
            <w:r>
              <w:rPr>
                <w:b w:val="false"/>
                <w:bCs w:val="false"/>
              </w:rPr>
              <w:t xml:space="preserve">Attendees — USME</w:t>
            </w:r>
          </w:p>
        </w:tc>
        <w:tc>
          <w:tcPr>
            <w:tcW w:type="dxa" w:w="7400"/>
            <w:tcMar>
              <w:top w:type="dxa" w:w="80"/>
              <w:left w:type="dxa" w:w="100"/>
              <w:bottom w:type="dxa" w:w="80"/>
              <w:right w:type="dxa" w:w="100"/>
            </w:tcMar>
          </w:tcPr>
          <w:p>
            <w:r>
              <w:rPr>
                <w:b w:val="false"/>
                <w:bCs w:val="false"/>
              </w:rPr>
              <w:t xml:space="preserve">Adithya, Naveen</w:t>
            </w:r>
          </w:p>
        </w:tc>
      </w:tr>
      <w:tr>
        <w:tc>
          <w:tcPr>
            <w:tcW w:type="dxa" w:w="2600"/>
            <w:tcMar>
              <w:top w:type="dxa" w:w="80"/>
              <w:left w:type="dxa" w:w="100"/>
              <w:bottom w:type="dxa" w:w="80"/>
              <w:right w:type="dxa" w:w="100"/>
            </w:tcMar>
          </w:tcPr>
          <w:p>
            <w:r>
              <w:rPr>
                <w:b w:val="false"/>
                <w:bCs w:val="false"/>
              </w:rPr>
              <w:t xml:space="preserve">Attendees — Durvah</w:t>
            </w:r>
          </w:p>
        </w:tc>
        <w:tc>
          <w:tcPr>
            <w:tcW w:type="dxa" w:w="7400"/>
            <w:tcMar>
              <w:top w:type="dxa" w:w="80"/>
              <w:left w:type="dxa" w:w="100"/>
              <w:bottom w:type="dxa" w:w="80"/>
              <w:right w:type="dxa" w:w="100"/>
            </w:tcMar>
          </w:tcPr>
          <w:p>
            <w:r>
              <w:rPr>
                <w:b w:val="false"/>
                <w:bCs w:val="false"/>
              </w:rPr>
              <w:t xml:space="preserve">Srini, Kishore, Madhusmitha, Dinesh</w:t>
            </w:r>
          </w:p>
        </w:tc>
      </w:tr>
    </w:tbl>
    <w:p>
      <w:pPr>
        <w:pStyle w:val="Heading1"/>
        <w:spacing w:after="140" w:before="340"/>
      </w:pPr>
      <w:r>
        <w:t xml:space="preserve">1. Purpose of the Meeting</w:t>
      </w:r>
    </w:p>
    <w:p>
      <w:pPr>
        <w:spacing w:after="100"/>
      </w:pPr>
      <w:r>
        <w:t xml:space="preserve">To continue Monday's working session with Rootstock, closing out open questions on the licensing model given USME's existing Salesforce Enterprise Edition footprint, confirming product master sync behavior, resolving the Salesforce Shield follow-up questions raised on Monday, and reviewing PHI/HIPAA data governance — including a newly surfaced, high-priority open item on tokenizing PHI for the planned Salesforce-to-Go-Transfers billing integration.</w:t>
      </w:r>
    </w:p>
    <w:p>
      <w:pPr>
        <w:pStyle w:val="Heading1"/>
        <w:spacing w:after="140" w:before="340"/>
      </w:pPr>
      <w:r>
        <w:t xml:space="preserve">2. Questions Posed to Rootstock (Ascent) &amp; Responses</w:t>
      </w:r>
    </w:p>
    <w:p>
      <w:pPr>
        <w:pStyle w:val="Heading2"/>
        <w:spacing w:after="80" w:before="200"/>
      </w:pPr>
      <w:r>
        <w:t xml:space="preserve">2.1 Product master sync (Salesforce Product2 vs. Ascent Item Master)</w:t>
      </w:r>
    </w:p>
    <w:p>
      <w:pPr>
        <w:spacing w:after="40" w:before="100"/>
      </w:pPr>
      <w:r>
        <w:rPr>
          <w:b/>
          <w:bCs/>
        </w:rPr>
        <w:t xml:space="preserve">Q: </w:t>
      </w:r>
      <w:r>
        <w:rPr>
          <w:b/>
          <w:bCs/>
        </w:rPr>
        <w:t xml:space="preserve">USME's Opportunities and standard Quotes are already tied to Salesforce's standard product master. If USME adopts Ascent, does product data need to sync in real time between Salesforce Product2 and Ascent's own Item Master, or would this run on a scheduled batch job?</w:t>
      </w:r>
    </w:p>
    <w:p>
      <w:pPr>
        <w:spacing w:after="120"/>
      </w:pPr>
      <w:r>
        <w:rPr>
          <w:b/>
          <w:bCs/>
          <w:color w:val="2E5E3E"/>
        </w:rPr>
        <w:t xml:space="preserve">A: </w:t>
      </w:r>
      <w:r>
        <w:t xml:space="preserve">Real-time sync is included out of the box. Installing the Ascent Product Connector package keeps Product2 and Ascent's Item Master synchronized in real time as part of the core package — not a scheduled/batch process.</w:t>
      </w:r>
    </w:p>
    <w:p>
      <w:pPr>
        <w:pStyle w:val="Heading2"/>
        <w:spacing w:after="80" w:before="200"/>
      </w:pPr>
      <w:r>
        <w:t xml:space="preserve">2.2 Licensing model — confirmed for USME's Enterprise footprint</w:t>
      </w:r>
    </w:p>
    <w:p>
      <w:pPr>
        <w:spacing w:after="40" w:before="100"/>
      </w:pPr>
      <w:r>
        <w:rPr>
          <w:b/>
          <w:bCs/>
        </w:rPr>
        <w:t xml:space="preserve">Q: </w:t>
      </w:r>
      <w:r>
        <w:rPr>
          <w:b/>
          <w:bCs/>
        </w:rPr>
        <w:t xml:space="preserve">Since USME already runs Salesforce Enterprise Edition with standard Opportunities/Quotes/Products, does adopting Ascent require moving away from Enterprise licensing?</w:t>
      </w:r>
    </w:p>
    <w:p>
      <w:pPr>
        <w:spacing w:after="120"/>
      </w:pPr>
      <w:r>
        <w:rPr>
          <w:b/>
          <w:bCs/>
          <w:color w:val="2E5E3E"/>
        </w:rPr>
        <w:t xml:space="preserve">A: </w:t>
      </w:r>
      <w:r>
        <w:t xml:space="preserve">No. USME can and should continue on Enterprise licensing for its CRM users; the OEM (platform-plus-Ascent bundle) license is simply an additional, optional path for users who don't need full CRM access — e.g., warehouse or operations staff — to reduce license cost for that population. The two license types coexist in the same org and can be mixed and matched per user/role; it is not an org-wide either/or decision.</w:t>
      </w:r>
    </w:p>
    <w:p>
      <w:pPr>
        <w:spacing w:after="40" w:before="100"/>
      </w:pPr>
      <w:r>
        <w:rPr>
          <w:b/>
          <w:bCs/>
        </w:rPr>
        <w:t xml:space="preserve">Q: </w:t>
      </w:r>
      <w:r>
        <w:rPr>
          <w:b/>
          <w:bCs/>
        </w:rPr>
        <w:t xml:space="preserve">With Enterprise + Ascent licensing, does USME get full, unrestricted access to standard reporting, dashboards, and mobile features?</w:t>
      </w:r>
    </w:p>
    <w:p>
      <w:pPr>
        <w:spacing w:after="120"/>
      </w:pPr>
      <w:r>
        <w:rPr>
          <w:b/>
          <w:bCs/>
          <w:color w:val="2E5E3E"/>
        </w:rPr>
        <w:t xml:space="preserve">A: </w:t>
      </w:r>
      <w:r>
        <w:t xml:space="preserve">Confirmed — Ascent does not restrict any native Salesforce Enterprise functionality. It only adds an optional, lower-cost bundled license on top for users who don't need full CRM access; users who need full CRM access simply keep their Enterprise license and layer Ascent access on top.</w:t>
      </w:r>
    </w:p>
    <w:p>
      <w:pPr>
        <w:spacing w:after="40" w:before="100"/>
      </w:pPr>
      <w:r>
        <w:rPr>
          <w:b/>
          <w:bCs/>
        </w:rPr>
        <w:t xml:space="preserve">Q: </w:t>
      </w:r>
      <w:r>
        <w:rPr>
          <w:b/>
          <w:bCs/>
        </w:rPr>
        <w:t xml:space="preserve">Can a user be converted later between an OEM/platform license and a full Enterprise CRM license without recreating the user record?</w:t>
      </w:r>
    </w:p>
    <w:p>
      <w:pPr>
        <w:spacing w:after="120"/>
      </w:pPr>
      <w:r>
        <w:rPr>
          <w:b/>
          <w:bCs/>
          <w:color w:val="2E5E3E"/>
        </w:rPr>
        <w:t xml:space="preserve">A: </w:t>
      </w:r>
      <w:r>
        <w:t xml:space="preserve">Yes — the license type and permission access for an existing user can be changed at any time; there is no need to recreate the user.</w:t>
      </w:r>
    </w:p>
    <w:p>
      <w:pPr>
        <w:spacing w:after="40" w:before="100"/>
      </w:pPr>
      <w:r>
        <w:rPr>
          <w:b/>
          <w:bCs/>
        </w:rPr>
        <w:t xml:space="preserve">Q: </w:t>
      </w:r>
      <w:r>
        <w:rPr>
          <w:b/>
          <w:bCs/>
        </w:rPr>
        <w:t xml:space="preserve">Is Ascent Rentals a separate licensing decision on top of Ascent ERP?</w:t>
      </w:r>
    </w:p>
    <w:p>
      <w:pPr>
        <w:spacing w:after="120"/>
      </w:pPr>
      <w:r>
        <w:rPr>
          <w:b/>
          <w:bCs/>
          <w:color w:val="2E5E3E"/>
        </w:rPr>
        <w:t xml:space="preserve">A: </w:t>
      </w:r>
      <w:r>
        <w:t xml:space="preserve">Technically two separate licenses (Ascent ERP core plus the Ascent Rentals extension package), but Rootstock's quoted pricing bundles both together as a single line item per rental user — not an additional cost decision USME needs to make separately.</w:t>
      </w:r>
    </w:p>
    <w:p>
      <w:pPr>
        <w:spacing w:after="40" w:before="100"/>
      </w:pPr>
      <w:r>
        <w:rPr>
          <w:b/>
          <w:bCs/>
        </w:rPr>
        <w:t xml:space="preserve">Q: </w:t>
      </w:r>
      <w:r>
        <w:rPr>
          <w:b/>
          <w:bCs/>
        </w:rPr>
        <w:t xml:space="preserve">The pricing breakdown Charlie shared included a Financials module line item for a small number of users — what does that cover?</w:t>
      </w:r>
    </w:p>
    <w:p>
      <w:pPr>
        <w:spacing w:after="120"/>
      </w:pPr>
      <w:r>
        <w:rPr>
          <w:b/>
          <w:bCs/>
          <w:color w:val="2E5E3E"/>
        </w:rPr>
        <w:t xml:space="preserve">A: </w:t>
      </w:r>
      <w:r>
        <w:t xml:space="preserve">Ascent's financials engine ("AFP") is a site license, not priced per seat. Whenever an inventory movement causes a financial transaction, it generates the corresponding journal entries, which can be exported/imported into USME's system of record. It is explicitly not a full financials/general-ledger package — Acumatica (or its successor) remains the system of record. Rootstock noted a future on-platform financial solution is on their roadmap, which would integrate directly, but today AFP's role is limited to preparing that data for export.</w:t>
      </w:r>
    </w:p>
    <w:p>
      <w:pPr>
        <w:spacing w:after="100"/>
      </w:pPr>
      <w:r>
        <w:t xml:space="preserve">Rootstock separately offered to build a full "as-is vs. to-be" licensing overlay: USME would share its current ~450-employee license profile (who is licensed for what today), and Rootstock would map that against the proposed Ascent/Enterprise model to show exactly how each user would be licensed going forward, rather than continuing the discussion hypothetically. Durvah confirmed this work is already underway internally, with Aditya to share a role-to-module mapping shortly.</w:t>
      </w:r>
    </w:p>
    <w:p>
      <w:pPr>
        <w:pStyle w:val="Heading2"/>
        <w:spacing w:after="80" w:before="200"/>
      </w:pPr>
      <w:r>
        <w:t xml:space="preserve">2.3 Salesforce Shield — searchability and validation on encrypted fields</w:t>
      </w:r>
    </w:p>
    <w:p>
      <w:pPr>
        <w:spacing w:after="40" w:before="100"/>
      </w:pPr>
      <w:r>
        <w:rPr>
          <w:b/>
          <w:bCs/>
        </w:rPr>
        <w:t xml:space="preserve">Q: </w:t>
      </w:r>
      <w:r>
        <w:rPr>
          <w:b/>
          <w:bCs/>
        </w:rPr>
        <w:t xml:space="preserve">If USME implements Salesforce Shield (platform encryption), will Ascent restrict searching on encrypted fields, or add any restriction of its own?</w:t>
      </w:r>
    </w:p>
    <w:p>
      <w:pPr>
        <w:spacing w:after="120"/>
      </w:pPr>
      <w:r>
        <w:rPr>
          <w:b/>
          <w:bCs/>
          <w:color w:val="2E5E3E"/>
        </w:rPr>
        <w:t xml:space="preserve">A: </w:t>
      </w:r>
      <w:r>
        <w:t xml:space="preserve">No Ascent-specific layer exists — search and access restrictions under Shield are entirely native Salesforce behavior and apply identically to Ascent's custom objects/fields as to any other custom object in the org. Ascent does not add or remove any restriction.</w:t>
      </w:r>
    </w:p>
    <w:p>
      <w:pPr>
        <w:spacing w:after="40" w:before="100"/>
      </w:pPr>
      <w:r>
        <w:rPr>
          <w:b/>
          <w:bCs/>
        </w:rPr>
        <w:t xml:space="preserve">Q: </w:t>
      </w:r>
      <w:r>
        <w:rPr>
          <w:b/>
          <w:bCs/>
        </w:rPr>
        <w:t xml:space="preserve">Does Ascent ever run backend validation logic against a field that might be Shield-encrypted (e.g., validating a masked value)?</w:t>
      </w:r>
    </w:p>
    <w:p>
      <w:pPr>
        <w:spacing w:after="120"/>
      </w:pPr>
      <w:r>
        <w:rPr>
          <w:b/>
          <w:bCs/>
          <w:color w:val="2E5E3E"/>
        </w:rPr>
        <w:t xml:space="preserve">A: </w:t>
      </w:r>
      <w:r>
        <w:t xml:space="preserve">Very few fields in Ascent are used for backend validation at all — largely limited to serial numbers and some primary keys — so this scenario is rare in practice. However, a general Shield limitation applies regardless of Ascent: an encrypted field cannot be used in a SOQL WHERE or ORDER BY clause, so if a Shield-encrypted field were referenced that way anywhere (including in a custom validation rule), it would break — this needs to be tested against the specific Shield configuration chosen, but is not something Rootstock has run into as an Ascent-specific problem.</w:t>
      </w:r>
    </w:p>
    <w:p>
      <w:pPr>
        <w:pStyle w:val="Heading2"/>
        <w:spacing w:after="80" w:before="200"/>
      </w:pPr>
      <w:r>
        <w:t xml:space="preserve">2.4 PHI/HIPAA data governance and non-production environments</w:t>
      </w:r>
    </w:p>
    <w:p>
      <w:pPr>
        <w:spacing w:after="40" w:before="100"/>
      </w:pPr>
      <w:r>
        <w:rPr>
          <w:b/>
          <w:bCs/>
        </w:rPr>
        <w:t xml:space="preserve">Q: </w:t>
      </w:r>
      <w:r>
        <w:rPr>
          <w:b/>
          <w:bCs/>
        </w:rPr>
        <w:t xml:space="preserve">Will Rootstock's implementation team have standing access to USME's HIPAA-sensitive production data, and how is that access controlled?</w:t>
      </w:r>
    </w:p>
    <w:p>
      <w:pPr>
        <w:spacing w:after="120"/>
      </w:pPr>
      <w:r>
        <w:rPr>
          <w:b/>
          <w:bCs/>
          <w:color w:val="2E5E3E"/>
        </w:rPr>
        <w:t xml:space="preserve">A: </w:t>
      </w:r>
      <w:r>
        <w:t xml:space="preserve">Rootstock does not extract or retain data from any customer org, and nothing runs outside the customer's own org unless access is explicitly granted. During implementation, Rootstock's team works only inside a dev org populated with synthetic/dummy data that matches the real data's attributes and types but contains no actual patient or customer information. USME's own team promotes changes up through sandbox and into production; Rootstock's team never logs into UAT or production directly. Rootstock cited US Bank as a reference customer operating successfully under this same model given its strict data-privacy requirements, and committed to following whatever specific governance process USME defines.</w:t>
      </w:r>
    </w:p>
    <w:p>
      <w:pPr>
        <w:spacing w:after="40" w:before="100"/>
      </w:pPr>
      <w:r>
        <w:rPr>
          <w:b/>
          <w:bCs/>
        </w:rPr>
        <w:t xml:space="preserve">Q: </w:t>
      </w:r>
      <w:r>
        <w:rPr>
          <w:b/>
          <w:bCs/>
        </w:rPr>
        <w:t xml:space="preserve">How will PHI/sensitive data be masked or excluded from non-production environments used for testing?</w:t>
      </w:r>
    </w:p>
    <w:p>
      <w:pPr>
        <w:spacing w:after="120"/>
      </w:pPr>
      <w:r>
        <w:rPr>
          <w:b/>
          <w:bCs/>
          <w:color w:val="2E5E3E"/>
        </w:rPr>
        <w:t xml:space="preserve">A: </w:t>
      </w:r>
      <w:r>
        <w:t xml:space="preserve">Rootstock will collaborate with USME during implementation to build a synthetic base test dataset (test customers/accounts with no real patient or customer information), which is then scripted so it can be replicated automatically into any newly spun-up dev environment. Masking of actual production data when refreshing sandboxes is handled by Salesforce's own platform data-masking capability, not by Rootstock — Shield settings applied in production carry through automatically to sandboxes created from it.</w:t>
      </w:r>
    </w:p>
    <w:p>
      <w:pPr>
        <w:pStyle w:val="Heading2"/>
        <w:spacing w:after="80" w:before="200"/>
      </w:pPr>
      <w:r>
        <w:t xml:space="preserve">2.5 PHI tokenization for the Salesforce → Go Transfers billing hand-off (open, high priority)</w:t>
      </w:r>
    </w:p>
    <w:p>
      <w:pPr>
        <w:spacing w:after="40" w:before="100"/>
      </w:pPr>
      <w:r>
        <w:rPr>
          <w:b/>
          <w:bCs/>
        </w:rPr>
        <w:t xml:space="preserve">Q: </w:t>
      </w:r>
      <w:r>
        <w:rPr>
          <w:b/>
          <w:bCs/>
        </w:rPr>
        <w:t xml:space="preserve">The planned architecture has Salesforce tokenizing PHI-bearing rental/billing event data before sending it to Go Transfers — since Go Transfers is not a HIPAA-compliant platform — with Go Transfers running billing against the tokenized data and returning results for Salesforce to render and store the actual invoice. Can this tokenization be performed from the Salesforce/Ascent side, and does Ascent have an out-of-the-box mechanism for it?</w:t>
      </w:r>
    </w:p>
    <w:p>
      <w:pPr>
        <w:spacing w:after="120"/>
      </w:pPr>
      <w:r>
        <w:rPr>
          <w:b/>
          <w:bCs/>
          <w:color w:val="2E5E3E"/>
        </w:rPr>
        <w:t xml:space="preserve">A: </w:t>
      </w:r>
      <w:r>
        <w:t xml:space="preserve">Not confirmed. Brian (Rootstock) does not believe there is an out-of-the-box tokenization process for this today and needs to check with Rootstock's product team before giving a definitive answer. Durvah flagged this as a top-priority open item, noting that the legacy/current architecture (ServiceNow with a native Go Transfers connector) handled this tokenization natively, and that this capability was an explicit requirement carried over from the original solution evaluation criteria — so an unresolved gap here is a material risk to the overall architecture decision, not a minor nuance.</w:t>
      </w:r>
    </w:p>
    <w:p>
      <w:pPr>
        <w:pStyle w:val="Heading2"/>
        <w:spacing w:after="80" w:before="200"/>
      </w:pPr>
      <w:r>
        <w:t xml:space="preserve">2.6 Go Transfers vs. Ascent Rental invoicing — confirmed rollout plan</w:t>
      </w:r>
    </w:p>
    <w:p>
      <w:pPr>
        <w:spacing w:after="40" w:before="100"/>
      </w:pPr>
      <w:r>
        <w:rPr>
          <w:b/>
          <w:bCs/>
        </w:rPr>
        <w:t xml:space="preserve">Q: </w:t>
      </w:r>
      <w:r>
        <w:rPr>
          <w:b/>
          <w:bCs/>
        </w:rPr>
        <w:t xml:space="preserve">Given Ascent has its own rental invoicing capability, will USME run Go Transfers and Ascent Rental invoicing in parallel, and which system is authoritative?</w:t>
      </w:r>
    </w:p>
    <w:p>
      <w:pPr>
        <w:spacing w:after="120"/>
      </w:pPr>
      <w:r>
        <w:rPr>
          <w:b/>
          <w:bCs/>
          <w:color w:val="2E5E3E"/>
        </w:rPr>
        <w:t xml:space="preserve">A: </w:t>
      </w:r>
      <w:r>
        <w:t xml:space="preserve">Confirmed: Go Transfers remains USME's billing system of record at least through 2027, since its implementation is already under way independently. In year one, invoices may be generated in both systems in parallel specifically to evaluate whether Ascent Rental's invoicing can handle the required volume and billing-rule complexity. If it proves capable, Ascent Rental invoicing could eventually replace Go Transfers to simplify the environment — but Go Transfers retains priority as the billing system of record through at least 2027 regardless of that evaluation's outcome.</w:t>
      </w:r>
    </w:p>
    <w:p>
      <w:pPr>
        <w:pStyle w:val="Heading1"/>
        <w:spacing w:after="140" w:before="340"/>
      </w:pPr>
      <w:r>
        <w:t xml:space="preserve">3. Key Takeaways for the Decision Document</w:t>
      </w:r>
    </w:p>
    <w:p>
      <w:pPr>
        <w:pStyle w:val="ListParagraph"/>
        <w:numPr>
          <w:ilvl w:val="0"/>
          <w:numId w:val="2"/>
        </w:numPr>
        <w:spacing w:after="60"/>
      </w:pPr>
      <w:r>
        <w:t xml:space="preserve">USME's Enterprise Salesforce licensing does not need to change to adopt Ascent — Ascent layers on top with no restriction to native functionality, and OEM/platform licensing remains an optional, blended cost-saving path for non-CRM users only.</w:t>
      </w:r>
    </w:p>
    <w:p>
      <w:pPr>
        <w:pStyle w:val="ListParagraph"/>
        <w:numPr>
          <w:ilvl w:val="0"/>
          <w:numId w:val="2"/>
        </w:numPr>
        <w:spacing w:after="60"/>
      </w:pPr>
      <w:r>
        <w:t xml:space="preserve">Product master sync between Salesforce and Ascent's Item Master is real-time and included in the core package — no custom sync job required.</w:t>
      </w:r>
    </w:p>
    <w:p>
      <w:pPr>
        <w:pStyle w:val="ListParagraph"/>
        <w:numPr>
          <w:ilvl w:val="0"/>
          <w:numId w:val="2"/>
        </w:numPr>
        <w:spacing w:after="60"/>
      </w:pPr>
      <w:r>
        <w:t xml:space="preserve">Salesforce Shield behavior (search restrictions, encrypted-field query limitations) is entirely native Salesforce behavior inherited unchanged by Ascent objects — no Ascent-specific gap found here, though standard Shield query limitations still apply generally.</w:t>
      </w:r>
    </w:p>
    <w:p>
      <w:pPr>
        <w:pStyle w:val="ListParagraph"/>
        <w:numPr>
          <w:ilvl w:val="0"/>
          <w:numId w:val="2"/>
        </w:numPr>
        <w:spacing w:after="60"/>
      </w:pPr>
      <w:r>
        <w:t xml:space="preserve">Rootstock's data-access and non-production data-handling model (synthetic dev data, no standing access, customer-controlled promotion to production) appears to align with USME's HIPAA governance needs, subject to USME formally specifying its governance requirements.</w:t>
      </w:r>
    </w:p>
    <w:p>
      <w:pPr>
        <w:pStyle w:val="ListParagraph"/>
        <w:numPr>
          <w:ilvl w:val="0"/>
          <w:numId w:val="2"/>
        </w:numPr>
        <w:spacing w:after="60"/>
      </w:pPr>
      <w:r>
        <w:t xml:space="preserve">The most significant open risk from this session: whether PHI tokenization for the Salesforce-to-Go-Transfers billing hand-off can be done out of the box in the new architecture, given the legacy ServiceNow-based architecture handled this natively. This should be tracked as a top-priority, potentially blocking item in the decision document rather than a routine follow-up.</w:t>
      </w:r>
    </w:p>
    <w:p>
      <w:pPr>
        <w:pStyle w:val="ListParagraph"/>
        <w:numPr>
          <w:ilvl w:val="0"/>
          <w:numId w:val="2"/>
        </w:numPr>
        <w:spacing w:after="60"/>
      </w:pPr>
      <w:r>
        <w:t xml:space="preserve">The Go Transfers vs. Ascent Rental billing evaluation plan is confirmed: parallel invoice generation in year one, Go Transfers remains system of record through at least 2027.</w:t>
      </w:r>
    </w:p>
    <w:p>
      <w:pPr>
        <w:pStyle w:val="Heading1"/>
        <w:spacing w:after="140" w:before="340"/>
      </w:pPr>
      <w:r>
        <w:t xml:space="preserve">4. Action 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gridCol w:w="1700"/>
      </w:tblGrid>
      <w:tr>
        <w:trPr>
          <w:tblHeader/>
        </w:trPr>
        <w:tc>
          <w:tcPr>
            <w:tcW w:type="dxa" w:w="2000"/>
            <w:shd w:fill="D9E2F3" w:color="auto" w:val="clear"/>
            <w:tcMar>
              <w:top w:type="dxa" w:w="80"/>
              <w:left w:type="dxa" w:w="100"/>
              <w:bottom w:type="dxa" w:w="80"/>
              <w:right w:type="dxa" w:w="100"/>
            </w:tcMar>
          </w:tcPr>
          <w:p>
            <w:r>
              <w:rPr>
                <w:b/>
                <w:bCs/>
              </w:rPr>
              <w:t xml:space="preserve">Owner</w:t>
            </w:r>
          </w:p>
        </w:tc>
        <w:tc>
          <w:tcPr>
            <w:tcW w:type="dxa" w:w="6300"/>
            <w:shd w:fill="D9E2F3" w:color="auto" w:val="clear"/>
            <w:tcMar>
              <w:top w:type="dxa" w:w="80"/>
              <w:left w:type="dxa" w:w="100"/>
              <w:bottom w:type="dxa" w:w="80"/>
              <w:right w:type="dxa" w:w="100"/>
            </w:tcMar>
          </w:tcPr>
          <w:p>
            <w:r>
              <w:rPr>
                <w:b/>
                <w:bCs/>
              </w:rPr>
              <w:t xml:space="preserve">Action</w:t>
            </w:r>
          </w:p>
        </w:tc>
        <w:tc>
          <w:tcPr>
            <w:tcW w:type="dxa" w:w="1700"/>
            <w:shd w:fill="D9E2F3" w:color="auto" w:val="clear"/>
            <w:tcMar>
              <w:top w:type="dxa" w:w="80"/>
              <w:left w:type="dxa" w:w="100"/>
              <w:bottom w:type="dxa" w:w="80"/>
              <w:right w:type="dxa" w:w="100"/>
            </w:tcMar>
          </w:tcPr>
          <w:p>
            <w:r>
              <w:rPr>
                <w:b/>
                <w:bCs/>
              </w:rPr>
              <w:t xml:space="preserve">Target</w:t>
            </w:r>
          </w:p>
        </w:tc>
      </w:tr>
      <w:tr>
        <w:tc>
          <w:tcPr>
            <w:tcW w:type="dxa" w:w="2000"/>
            <w:tcMar>
              <w:top w:type="dxa" w:w="80"/>
              <w:left w:type="dxa" w:w="100"/>
              <w:bottom w:type="dxa" w:w="80"/>
              <w:right w:type="dxa" w:w="100"/>
            </w:tcMar>
          </w:tcPr>
          <w:p>
            <w:r>
              <w:rPr>
                <w:b w:val="false"/>
                <w:bCs w:val="false"/>
              </w:rPr>
              <w:t xml:space="preserve">Rootstock (Brian)</w:t>
            </w:r>
          </w:p>
        </w:tc>
        <w:tc>
          <w:tcPr>
            <w:tcW w:type="dxa" w:w="6300"/>
            <w:tcMar>
              <w:top w:type="dxa" w:w="80"/>
              <w:left w:type="dxa" w:w="100"/>
              <w:bottom w:type="dxa" w:w="80"/>
              <w:right w:type="dxa" w:w="100"/>
            </w:tcMar>
          </w:tcPr>
          <w:p>
            <w:r>
              <w:rPr>
                <w:b w:val="false"/>
                <w:bCs w:val="false"/>
              </w:rPr>
              <w:t xml:space="preserve">Confer with Rootstock's product team on whether an out-of-the-box mechanism exists to tokenize PHI-bearing rental/billing event data on the Salesforce side before sending to Go Transfers, and report back with a definitive answer.</w:t>
            </w:r>
          </w:p>
        </w:tc>
        <w:tc>
          <w:tcPr>
            <w:tcW w:type="dxa" w:w="1700"/>
            <w:tcMar>
              <w:top w:type="dxa" w:w="80"/>
              <w:left w:type="dxa" w:w="100"/>
              <w:bottom w:type="dxa" w:w="80"/>
              <w:right w:type="dxa" w:w="100"/>
            </w:tcMar>
          </w:tcPr>
          <w:p>
            <w:r>
              <w:rPr>
                <w:b w:val="false"/>
                <w:bCs w:val="false"/>
              </w:rPr>
              <w:t xml:space="preserve">ASAP — flagged top priority</w:t>
            </w:r>
          </w:p>
        </w:tc>
      </w:tr>
      <w:tr>
        <w:tc>
          <w:tcPr>
            <w:tcW w:type="dxa" w:w="2000"/>
            <w:tcMar>
              <w:top w:type="dxa" w:w="80"/>
              <w:left w:type="dxa" w:w="100"/>
              <w:bottom w:type="dxa" w:w="80"/>
              <w:right w:type="dxa" w:w="100"/>
            </w:tcMar>
          </w:tcPr>
          <w:p>
            <w:r>
              <w:rPr>
                <w:b w:val="false"/>
                <w:bCs w:val="false"/>
              </w:rPr>
              <w:t xml:space="preserve">Aditya (USME)</w:t>
            </w:r>
          </w:p>
        </w:tc>
        <w:tc>
          <w:tcPr>
            <w:tcW w:type="dxa" w:w="6300"/>
            <w:tcMar>
              <w:top w:type="dxa" w:w="80"/>
              <w:left w:type="dxa" w:w="100"/>
              <w:bottom w:type="dxa" w:w="80"/>
              <w:right w:type="dxa" w:w="100"/>
            </w:tcMar>
          </w:tcPr>
          <w:p>
            <w:r>
              <w:rPr>
                <w:b w:val="false"/>
                <w:bCs w:val="false"/>
              </w:rPr>
              <w:t xml:space="preserve">Share USME's current ~450-employee license profile and role-to-module mapping with Rootstock and Durvah.</w:t>
            </w:r>
          </w:p>
        </w:tc>
        <w:tc>
          <w:tcPr>
            <w:tcW w:type="dxa" w:w="1700"/>
            <w:tcMar>
              <w:top w:type="dxa" w:w="80"/>
              <w:left w:type="dxa" w:w="100"/>
              <w:bottom w:type="dxa" w:w="80"/>
              <w:right w:type="dxa" w:w="100"/>
            </w:tcMar>
          </w:tcPr>
          <w:p>
            <w:r>
              <w:rPr>
                <w:b w:val="false"/>
                <w:bCs w:val="false"/>
              </w:rPr>
              <w:t xml:space="preserve">Before licensing overlay can be built</w:t>
            </w:r>
          </w:p>
        </w:tc>
      </w:tr>
      <w:tr>
        <w:tc>
          <w:tcPr>
            <w:tcW w:type="dxa" w:w="2000"/>
            <w:tcMar>
              <w:top w:type="dxa" w:w="80"/>
              <w:left w:type="dxa" w:w="100"/>
              <w:bottom w:type="dxa" w:w="80"/>
              <w:right w:type="dxa" w:w="100"/>
            </w:tcMar>
          </w:tcPr>
          <w:p>
            <w:r>
              <w:rPr>
                <w:b w:val="false"/>
                <w:bCs w:val="false"/>
              </w:rPr>
              <w:t xml:space="preserve">Rootstock</w:t>
            </w:r>
          </w:p>
        </w:tc>
        <w:tc>
          <w:tcPr>
            <w:tcW w:type="dxa" w:w="6300"/>
            <w:tcMar>
              <w:top w:type="dxa" w:w="80"/>
              <w:left w:type="dxa" w:w="100"/>
              <w:bottom w:type="dxa" w:w="80"/>
              <w:right w:type="dxa" w:w="100"/>
            </w:tcMar>
          </w:tcPr>
          <w:p>
            <w:r>
              <w:rPr>
                <w:b w:val="false"/>
                <w:bCs w:val="false"/>
              </w:rPr>
              <w:t xml:space="preserve">Once USME's license profile is received, build the as-is vs. to-be licensing overlay showing how each user/role would be licensed under the proposed Ascent model.</w:t>
            </w:r>
          </w:p>
        </w:tc>
        <w:tc>
          <w:tcPr>
            <w:tcW w:type="dxa" w:w="1700"/>
            <w:tcMar>
              <w:top w:type="dxa" w:w="80"/>
              <w:left w:type="dxa" w:w="100"/>
              <w:bottom w:type="dxa" w:w="80"/>
              <w:right w:type="dxa" w:w="100"/>
            </w:tcMar>
          </w:tcPr>
          <w:p>
            <w:r>
              <w:rPr>
                <w:b w:val="false"/>
                <w:bCs w:val="false"/>
              </w:rPr>
              <w:t xml:space="preserve">After Aditya's data is received</w:t>
            </w:r>
          </w:p>
        </w:tc>
      </w:tr>
      <w:tr>
        <w:tc>
          <w:tcPr>
            <w:tcW w:type="dxa" w:w="2000"/>
            <w:tcMar>
              <w:top w:type="dxa" w:w="80"/>
              <w:left w:type="dxa" w:w="100"/>
              <w:bottom w:type="dxa" w:w="80"/>
              <w:right w:type="dxa" w:w="100"/>
            </w:tcMar>
          </w:tcPr>
          <w:p>
            <w:r>
              <w:rPr>
                <w:b w:val="false"/>
                <w:bCs w:val="false"/>
              </w:rPr>
              <w:t xml:space="preserve">Durvah</w:t>
            </w:r>
          </w:p>
        </w:tc>
        <w:tc>
          <w:tcPr>
            <w:tcW w:type="dxa" w:w="6300"/>
            <w:tcMar>
              <w:top w:type="dxa" w:w="80"/>
              <w:left w:type="dxa" w:w="100"/>
              <w:bottom w:type="dxa" w:w="80"/>
              <w:right w:type="dxa" w:w="100"/>
            </w:tcMar>
          </w:tcPr>
          <w:p>
            <w:r>
              <w:rPr>
                <w:b w:val="false"/>
                <w:bCs w:val="false"/>
              </w:rPr>
              <w:t xml:space="preserve">Carry the unresolved PHI tokenization question forward as a top-priority item into Wednesday's session and the Thursday decision-making document.</w:t>
            </w:r>
          </w:p>
        </w:tc>
        <w:tc>
          <w:tcPr>
            <w:tcW w:type="dxa" w:w="1700"/>
            <w:tcMar>
              <w:top w:type="dxa" w:w="80"/>
              <w:left w:type="dxa" w:w="100"/>
              <w:bottom w:type="dxa" w:w="80"/>
              <w:right w:type="dxa" w:w="100"/>
            </w:tcMar>
          </w:tcPr>
          <w:p>
            <w:r>
              <w:rPr>
                <w:b w:val="false"/>
                <w:bCs w:val="false"/>
              </w:rPr>
              <w:t xml:space="preserve">Wednesday session / Thursday</w:t>
            </w:r>
          </w:p>
        </w:tc>
      </w:tr>
      <w:tr>
        <w:tc>
          <w:tcPr>
            <w:tcW w:type="dxa" w:w="2000"/>
            <w:tcMar>
              <w:top w:type="dxa" w:w="80"/>
              <w:left w:type="dxa" w:w="100"/>
              <w:bottom w:type="dxa" w:w="80"/>
              <w:right w:type="dxa" w:w="100"/>
            </w:tcMar>
          </w:tcPr>
          <w:p>
            <w:r>
              <w:rPr>
                <w:b w:val="false"/>
                <w:bCs w:val="false"/>
              </w:rPr>
              <w:t xml:space="preserve">Durvah team</w:t>
            </w:r>
          </w:p>
        </w:tc>
        <w:tc>
          <w:tcPr>
            <w:tcW w:type="dxa" w:w="6300"/>
            <w:tcMar>
              <w:top w:type="dxa" w:w="80"/>
              <w:left w:type="dxa" w:w="100"/>
              <w:bottom w:type="dxa" w:w="80"/>
              <w:right w:type="dxa" w:w="100"/>
            </w:tcMar>
          </w:tcPr>
          <w:p>
            <w:r>
              <w:rPr>
                <w:b w:val="false"/>
                <w:bCs w:val="false"/>
              </w:rPr>
              <w:t xml:space="preserve">Continue to Wednesday's working session covering remaining open items (including lot/serial number and recall management carried over from Monday) ahead of Friday's demo.</w:t>
            </w:r>
          </w:p>
        </w:tc>
        <w:tc>
          <w:tcPr>
            <w:tcW w:type="dxa" w:w="1700"/>
            <w:tcMar>
              <w:top w:type="dxa" w:w="80"/>
              <w:left w:type="dxa" w:w="100"/>
              <w:bottom w:type="dxa" w:w="80"/>
              <w:right w:type="dxa" w:w="100"/>
            </w:tcMar>
          </w:tcPr>
          <w:p>
            <w:r>
              <w:rPr>
                <w:b w:val="false"/>
                <w:bCs w:val="false"/>
              </w:rPr>
              <w:t xml:space="preserve">Wednesday</w:t>
            </w:r>
          </w:p>
        </w:tc>
      </w:tr>
    </w:tbl>
    <w:p>
      <w:pPr>
        <w:pStyle w:val="Heading1"/>
        <w:spacing w:after="140" w:before="340"/>
      </w:pPr>
      <w:r>
        <w:t xml:space="preserve">5. Next Session</w:t>
      </w:r>
    </w:p>
    <w:p>
      <w:pPr>
        <w:spacing w:after="100"/>
      </w:pPr>
      <w:r>
        <w:t xml:space="preserve">Final working session with Rootstock's Ascent team on Wednesday, focused on closing out remaining open items — including the PHI tokenization question, lot/serial number traceability, and recall management — ahead of Friday's full product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2026-08-25T16:35:30.824Z</dcterms:created>
  <dcterms:modified xsi:type="dcterms:W3CDTF">2026-08-25T16:35:30.840Z</dcterms:modified>
</cp:coreProperties>
</file>

<file path=docProps/custom.xml><?xml version="1.0" encoding="utf-8"?>
<Properties xmlns="http://schemas.openxmlformats.org/officeDocument/2006/custom-properties" xmlns:vt="http://schemas.openxmlformats.org/officeDocument/2006/docPropsVTypes"/>
</file>