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B57"/>
          <w:sz w:val="32"/>
          <w:szCs w:val="32"/>
        </w:rPr>
        <w:t xml:space="preserve">USME — Depot Services / Biomed Walkthrough</w:t>
      </w:r>
    </w:p>
    <w:p>
      <w:pPr>
        <w:spacing w:after="240"/>
      </w:pPr>
      <w:r>
        <w:rPr>
          <w:i/>
          <w:iCs/>
          <w:color w:val="555555"/>
          <w:sz w:val="24"/>
          <w:szCs w:val="24"/>
        </w:rPr>
        <w:t xml:space="preserve">Minutes of Meeting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20"/>
                <w:szCs w:val="20"/>
              </w:rPr>
              <w:t xml:space="preserve">Date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On-site discovery walkthrough (pre-workshop)</w:t>
            </w:r>
          </w:p>
        </w:tc>
      </w:tr>
      <w:tr>
        <w:tc>
          <w:tcPr>
            <w:tcW w:type="dxa" w:w="2000"/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20"/>
                <w:szCs w:val="20"/>
              </w:rPr>
              <w:t xml:space="preserve">Project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USME (US Med-Equip) — Ascent Rental / Salesforce Field Service</w:t>
            </w:r>
          </w:p>
        </w:tc>
      </w:tr>
      <w:tr>
        <w:tc>
          <w:tcPr>
            <w:tcW w:type="dxa" w:w="2000"/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20"/>
                <w:szCs w:val="20"/>
              </w:rPr>
              <w:t xml:space="preserve">Also present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Bridge and Robert (USME biomed/production planning), Ascent/Durvah team</w:t>
            </w:r>
          </w:p>
        </w:tc>
      </w:tr>
      <w:tr>
        <w:tc>
          <w:tcPr>
            <w:tcW w:type="dxa" w:w="2000"/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Durvah</w:t>
            </w:r>
          </w:p>
        </w:tc>
      </w:tr>
    </w:tbl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1. Purpose</w:t>
      </w:r>
    </w:p>
    <w:p>
      <w:pPr>
        <w:spacing w:after="100"/>
      </w:pPr>
      <w:r>
        <w:rPr>
          <w:sz w:val="21"/>
          <w:szCs w:val="21"/>
        </w:rPr>
        <w:t xml:space="preserve">Walk through the Depot Services / biomed repair workflow — case and work order structure, parts fulfillment, and technician production planning — to surface requirements and gaps ahead of next week's on-site workshops.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2. Depot Services Structure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Depot Services, Inside Sales, and Sales Orders use a combination of GoUSME and ServiceNow together, not GoUSME alone.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 "case" can hold up to approximately 20 case tasks, potentially shipping from different branches and worked on by the biomed team.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Shipping process: once an item is available for an order, staff go into the task template, select shipping, and choose a method — free shipping or a third-party expedited carrier ("hot shot" company) for large-footprint items.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3. Parts / PO Cancellation — Notification Gap (Major Finding)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If purchasing cancels a PO for a part tied to an open work order (e.g. a manufacturer PO cancelled, or a transfer order cancelled because the source branch's system-shown inventory turns out to be wrong), there is no notification to the technician.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The technician simply assumes the part is still on the way; discovery today is purely reactive — the technician checks back weeks later, or a team lead happens to be monitoring "work in progress" parts status.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Proposed fix (Bridge): on cancellation, the part requirement should automatically requeue for purchasing to handle (re-route to a different PO or a transfer order) rather than requiring the technician to notice and manually resubmit the parts request.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Described as "a huge gap" — any notification mechanism (e.g. built in Salesforce) would help.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4. Biomed Technician Work Assignment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Weekly "production cases" (a structure parallel to equipment-management and shipping cases) assign technicians work by model ID; completing work on a model fills that case's completion bar toward 100%.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This is distinct from "open work orders" submitted by the equipment management team (e.g. a $3,500 parts/work order), which must be manually closed out by the team lead rather than auto-completing like production cases.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5. Standard Repair-Time Data (Gap)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Standard labor-time/effort values for completing repair work exist per model + service-type combination (e.g. an infusion pump takes less technician effort than a ventilator).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This data is stored entirely outside the current system (not in ServiceNow or GoUSME) — relevant to production-planning and capacity commitments by branch criticality, which isn't systematically supported today.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6. Work Order Data Model — Resolved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USME finds the current Work Order → Work Order Task relationship (1:1, no multiple tasks under one work order) redundant, and would prefer a single work order with multiple sequenced lines instead.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Ascent confirmed their native model already works this way — a Work Order "header" with multiple "lines" (non-physical service/task lines plus physical lines like consumables), sequenced — satisfying this request natively. No gap here.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7. Action Items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0"/>
        <w:gridCol w:w="2500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Item</w:t>
            </w:r>
          </w:p>
        </w:tc>
        <w:tc>
          <w:tcPr>
            <w:tcW w:type="dxa" w:w="2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 a "wish list" of process improvements/additions to the depot services and production-planning workflow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USME biomed/production-planning team (Bridge/Robert)</w:t>
            </w:r>
          </w:p>
        </w:tc>
      </w:tr>
      <w:tr>
        <w:tc>
          <w:tcPr>
            <w:tcW w:type="dxa" w:w="5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70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 the wish list to Durvah (Srini/team) and Tom (Ascent) ahead of next week's deeper-dive session</w:t>
            </w:r>
          </w:p>
        </w:tc>
        <w:tc>
          <w:tcPr>
            <w:tcW w:type="dxa" w:w="25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USME biomed/production-planning team</w:t>
            </w:r>
          </w:p>
        </w:tc>
      </w:tr>
    </w:tbl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8. Next Steps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Findings to feed into the Field Service Execution and Pickup/Return &amp; Recovery domain designs, particularly around parts fulfillment notifications and work order structure.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Next week's on-site session will dig into the detailed requirements for depot services and production planning, using this discussion and the requested wish list as a starting base.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2026-09-26T01:53:59.489Z</dcterms:created>
  <dcterms:modified xsi:type="dcterms:W3CDTF">2026-09-26T01:53:59.498Z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