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Minutes of Meeting</w:t>
      </w:r>
    </w:p>
    <w:p>
      <w:pPr>
        <w:spacing w:after="100"/>
      </w:pPr>
      <w:r>
        <w:rPr>
          <w:b/>
          <w:bCs/>
        </w:rPr>
        <w:t xml:space="preserve">Rootstock (Ascent Team) Working Session — Platform Architecture, Licensing &amp; Functional Q&amp;A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D9E2F3" w:color="auto" w:val="clear"/>
            <w:tcMar>
              <w:top w:type="dxa" w:w="80"/>
              <w:left w:type="dxa" w:w="100"/>
              <w:bottom w:type="dxa" w:w="80"/>
              <w:right w:type="dxa" w:w="100"/>
            </w:tcMar>
          </w:tcPr>
          <w:p>
            <w:r>
              <w:rPr>
                <w:b/>
                <w:bCs/>
              </w:rPr>
              <w:t xml:space="preserve">Field</w:t>
            </w:r>
          </w:p>
        </w:tc>
        <w:tc>
          <w:tcPr>
            <w:tcW w:type="dxa" w:w="7400"/>
            <w:shd w:fill="D9E2F3" w:color="auto" w:val="clear"/>
            <w:tcMar>
              <w:top w:type="dxa" w:w="80"/>
              <w:left w:type="dxa" w:w="100"/>
              <w:bottom w:type="dxa" w:w="80"/>
              <w:right w:type="dxa" w:w="100"/>
            </w:tcMar>
          </w:tcPr>
          <w:p>
            <w:r>
              <w:rPr>
                <w:b/>
                <w:bCs/>
              </w:rPr>
              <w:t xml:space="preserve">Detail</w:t>
            </w:r>
          </w:p>
        </w:tc>
      </w:tr>
      <w:tr>
        <w:tc>
          <w:tcPr>
            <w:tcW w:type="dxa" w:w="2600"/>
            <w:tcMar>
              <w:top w:type="dxa" w:w="80"/>
              <w:left w:type="dxa" w:w="100"/>
              <w:bottom w:type="dxa" w:w="80"/>
              <w:right w:type="dxa" w:w="100"/>
            </w:tcMar>
          </w:tcPr>
          <w:p>
            <w:r>
              <w:rPr>
                <w:b w:val="false"/>
                <w:bCs w:val="false"/>
              </w:rPr>
              <w:t xml:space="preserve">Date</w:t>
            </w:r>
          </w:p>
        </w:tc>
        <w:tc>
          <w:tcPr>
            <w:tcW w:type="dxa" w:w="7400"/>
            <w:tcMar>
              <w:top w:type="dxa" w:w="80"/>
              <w:left w:type="dxa" w:w="100"/>
              <w:bottom w:type="dxa" w:w="80"/>
              <w:right w:type="dxa" w:w="100"/>
            </w:tcMar>
          </w:tcPr>
          <w:p>
            <w:r>
              <w:rPr>
                <w:b w:val="false"/>
                <w:bCs w:val="false"/>
              </w:rPr>
              <w:t xml:space="preserve">Monday, August 24, 2026</w:t>
            </w:r>
          </w:p>
        </w:tc>
      </w:tr>
      <w:tr>
        <w:tc>
          <w:tcPr>
            <w:tcW w:type="dxa" w:w="2600"/>
            <w:tcMar>
              <w:top w:type="dxa" w:w="80"/>
              <w:left w:type="dxa" w:w="100"/>
              <w:bottom w:type="dxa" w:w="80"/>
              <w:right w:type="dxa" w:w="100"/>
            </w:tcMar>
          </w:tcPr>
          <w:p>
            <w:r>
              <w:rPr>
                <w:b w:val="false"/>
                <w:bCs w:val="false"/>
              </w:rPr>
              <w:t xml:space="preserve">Subject</w:t>
            </w:r>
          </w:p>
        </w:tc>
        <w:tc>
          <w:tcPr>
            <w:tcW w:type="dxa" w:w="7400"/>
            <w:tcMar>
              <w:top w:type="dxa" w:w="80"/>
              <w:left w:type="dxa" w:w="100"/>
              <w:bottom w:type="dxa" w:w="80"/>
              <w:right w:type="dxa" w:w="100"/>
            </w:tcMar>
          </w:tcPr>
          <w:p>
            <w:r>
              <w:rPr>
                <w:b w:val="false"/>
                <w:bCs w:val="false"/>
              </w:rPr>
              <w:t xml:space="preserve">First of three working sessions (Mon–Wed) with Rootstock's Ascent team ahead of Friday's product demo, to work through Durvah's prepared question set on platform architecture, licensing, data storage, mobility, and product/bundling functionality.</w:t>
            </w:r>
          </w:p>
        </w:tc>
      </w:tr>
      <w:tr>
        <w:tc>
          <w:tcPr>
            <w:tcW w:type="dxa" w:w="2600"/>
            <w:tcMar>
              <w:top w:type="dxa" w:w="80"/>
              <w:left w:type="dxa" w:w="100"/>
              <w:bottom w:type="dxa" w:w="80"/>
              <w:right w:type="dxa" w:w="100"/>
            </w:tcMar>
          </w:tcPr>
          <w:p>
            <w:r>
              <w:rPr>
                <w:b w:val="false"/>
                <w:bCs w:val="false"/>
              </w:rPr>
              <w:t xml:space="preserve">Attendees — Rootstock (Ascent Team)</w:t>
            </w:r>
          </w:p>
        </w:tc>
        <w:tc>
          <w:tcPr>
            <w:tcW w:type="dxa" w:w="7400"/>
            <w:tcMar>
              <w:top w:type="dxa" w:w="80"/>
              <w:left w:type="dxa" w:w="100"/>
              <w:bottom w:type="dxa" w:w="80"/>
              <w:right w:type="dxa" w:w="100"/>
            </w:tcMar>
          </w:tcPr>
          <w:p>
            <w:r>
              <w:rPr>
                <w:b w:val="false"/>
                <w:bCs w:val="false"/>
              </w:rPr>
              <w:t xml:space="preserve">Brian (Product Team), plus additional Rootstock representatives on the call</w:t>
            </w:r>
          </w:p>
        </w:tc>
      </w:tr>
      <w:tr>
        <w:tc>
          <w:tcPr>
            <w:tcW w:type="dxa" w:w="2600"/>
            <w:tcMar>
              <w:top w:type="dxa" w:w="80"/>
              <w:left w:type="dxa" w:w="100"/>
              <w:bottom w:type="dxa" w:w="80"/>
              <w:right w:type="dxa" w:w="100"/>
            </w:tcMar>
          </w:tcPr>
          <w:p>
            <w:r>
              <w:rPr>
                <w:b w:val="false"/>
                <w:bCs w:val="false"/>
              </w:rPr>
              <w:t xml:space="preserve">Attendees — USME</w:t>
            </w:r>
          </w:p>
        </w:tc>
        <w:tc>
          <w:tcPr>
            <w:tcW w:type="dxa" w:w="7400"/>
            <w:tcMar>
              <w:top w:type="dxa" w:w="80"/>
              <w:left w:type="dxa" w:w="100"/>
              <w:bottom w:type="dxa" w:w="80"/>
              <w:right w:type="dxa" w:w="100"/>
            </w:tcMar>
          </w:tcPr>
          <w:p>
            <w:r>
              <w:rPr>
                <w:b w:val="false"/>
                <w:bCs w:val="false"/>
              </w:rPr>
              <w:t xml:space="preserve">Adithya, Naveen</w:t>
            </w:r>
          </w:p>
        </w:tc>
      </w:tr>
      <w:tr>
        <w:tc>
          <w:tcPr>
            <w:tcW w:type="dxa" w:w="2600"/>
            <w:tcMar>
              <w:top w:type="dxa" w:w="80"/>
              <w:left w:type="dxa" w:w="100"/>
              <w:bottom w:type="dxa" w:w="80"/>
              <w:right w:type="dxa" w:w="100"/>
            </w:tcMar>
          </w:tcPr>
          <w:p>
            <w:r>
              <w:rPr>
                <w:b w:val="false"/>
                <w:bCs w:val="false"/>
              </w:rPr>
              <w:t xml:space="preserve">Attendees — Durvah</w:t>
            </w:r>
          </w:p>
        </w:tc>
        <w:tc>
          <w:tcPr>
            <w:tcW w:type="dxa" w:w="7400"/>
            <w:tcMar>
              <w:top w:type="dxa" w:w="80"/>
              <w:left w:type="dxa" w:w="100"/>
              <w:bottom w:type="dxa" w:w="80"/>
              <w:right w:type="dxa" w:w="100"/>
            </w:tcMar>
          </w:tcPr>
          <w:p>
            <w:r>
              <w:rPr>
                <w:b w:val="false"/>
                <w:bCs w:val="false"/>
              </w:rPr>
              <w:t xml:space="preserve">Srini, Kishore, Madhusmitha, Dinesh</w:t>
            </w:r>
          </w:p>
        </w:tc>
      </w:tr>
    </w:tbl>
    <w:p>
      <w:pPr>
        <w:pStyle w:val="Heading1"/>
        <w:spacing w:after="140" w:before="340"/>
      </w:pPr>
      <w:r>
        <w:t xml:space="preserve">1. Purpose of the Meeting</w:t>
      </w:r>
    </w:p>
    <w:p>
      <w:pPr>
        <w:spacing w:after="100"/>
      </w:pPr>
      <w:r>
        <w:t xml:space="preserve">To put Durvah's prepared question list to Rootstock's Ascent team directly — covering platform architecture, licensing structure, release/upgrade management, mobility and offline support, data storage and PHI/HIPAA handling, and product bundling/dependency capability — so the findings can feed the decision-making document being prepared for USME leadership ahead of Friday's demo.</w:t>
      </w:r>
    </w:p>
    <w:p>
      <w:pPr>
        <w:pStyle w:val="Heading1"/>
        <w:spacing w:after="140" w:before="340"/>
      </w:pPr>
      <w:r>
        <w:t xml:space="preserve">2. Questions Posed to Rootstock (Ascent) &amp; Responses</w:t>
      </w:r>
    </w:p>
    <w:p>
      <w:pPr>
        <w:pStyle w:val="Heading2"/>
        <w:spacing w:after="80" w:before="200"/>
      </w:pPr>
      <w:r>
        <w:t xml:space="preserve">2.1 Platform architecture — native vs. custom</w:t>
      </w:r>
    </w:p>
    <w:p>
      <w:pPr>
        <w:spacing w:after="40" w:before="100"/>
      </w:pPr>
      <w:r>
        <w:rPr>
          <w:b/>
          <w:bCs/>
        </w:rPr>
        <w:t xml:space="preserve">Q: </w:t>
      </w:r>
      <w:r>
        <w:rPr>
          <w:b/>
          <w:bCs/>
        </w:rPr>
        <w:t xml:space="preserve">Is Ascent fully native to Salesforce, or does any part of it call out to Rootstock's own servers?</w:t>
      </w:r>
    </w:p>
    <w:p>
      <w:pPr>
        <w:spacing w:after="120"/>
      </w:pPr>
      <w:r>
        <w:rPr>
          <w:b/>
          <w:bCs/>
          <w:color w:val="2E5E3E"/>
        </w:rPr>
        <w:t xml:space="preserve">A: </w:t>
      </w:r>
      <w:r>
        <w:t xml:space="preserve">100% native — nothing ever leaves the Salesforce platform. Ascent ships as two managed packages: Ascent ERP (core) and Ascent Rentals (an extension package that requires ERP core). It relies entirely on native Salesforce platform tools for dashboards, reporting, and automation — Rootstock does not provide separate tools for these. Some business logic is encapsulated behind the package's namespace prefix; where that logic needs to be invoked from outside Rootstock's own UI (e.g., for automation), Rootstock exposes it via provided APIs/invocable actions — still entirely within the Salesforce org. Off-platform integrations (e.g., Shopify, QuickBooks) are only used if USME chooses to build them; not part of the default architecture.</w:t>
      </w:r>
    </w:p>
    <w:p>
      <w:pPr>
        <w:pStyle w:val="Heading2"/>
        <w:spacing w:after="80" w:before="200"/>
      </w:pPr>
      <w:r>
        <w:t xml:space="preserve">2.2 Functional gaps vs. standard Salesforce CRM</w:t>
      </w:r>
    </w:p>
    <w:p>
      <w:pPr>
        <w:spacing w:after="40" w:before="100"/>
      </w:pPr>
      <w:r>
        <w:rPr>
          <w:b/>
          <w:bCs/>
        </w:rPr>
        <w:t xml:space="preserve">Q: </w:t>
      </w:r>
      <w:r>
        <w:rPr>
          <w:b/>
          <w:bCs/>
        </w:rPr>
        <w:t xml:space="preserve">Ascent uses standard Accounts/Contacts but has its own item master and quote objects — are there real functional gaps against the standard CRM objects (Opportunities, Products, Quotes)?</w:t>
      </w:r>
    </w:p>
    <w:p>
      <w:pPr>
        <w:spacing w:after="120"/>
      </w:pPr>
      <w:r>
        <w:rPr>
          <w:b/>
          <w:bCs/>
          <w:color w:val="2E5E3E"/>
        </w:rPr>
        <w:t xml:space="preserve">A: </w:t>
      </w:r>
      <w:r>
        <w:t xml:space="preserve">No true gaps — it is a configuration choice made during implementation. Customers can route through standard Opportunities/Products and hand off to an Ascent sales order for fulfillment, or bypass CRM licensing entirely and run quoting and sales-order fulfillment natively in Ascent without requiring a CRM (Sales Cloud) license for those users. A blended model — some users on one path, others on the other — is also supported.</w:t>
      </w:r>
    </w:p>
    <w:p>
      <w:pPr>
        <w:pStyle w:val="Heading2"/>
        <w:spacing w:after="80" w:before="200"/>
      </w:pPr>
      <w:r>
        <w:t xml:space="preserve">2.3 Licensing model</w:t>
      </w:r>
    </w:p>
    <w:p>
      <w:pPr>
        <w:spacing w:after="40" w:before="100"/>
      </w:pPr>
      <w:r>
        <w:rPr>
          <w:b/>
          <w:bCs/>
        </w:rPr>
        <w:t xml:space="preserve">Q: </w:t>
      </w:r>
      <w:r>
        <w:rPr>
          <w:b/>
          <w:bCs/>
        </w:rPr>
        <w:t xml:space="preserve">What license types exist, and how do they combine with USME's existing Salesforce Enterprise licenses?</w:t>
      </w:r>
    </w:p>
    <w:p>
      <w:pPr>
        <w:spacing w:after="120"/>
      </w:pPr>
      <w:r>
        <w:rPr>
          <w:b/>
          <w:bCs/>
          <w:color w:val="2E5E3E"/>
        </w:rPr>
        <w:t xml:space="preserve">A: </w:t>
      </w:r>
      <w:r>
        <w:t xml:space="preserve">Two license types: ISV licenses, which travel with a user who already holds a Salesforce/CRM license (adds only access to Ascent's object set); and OEM licenses, which bundle a Salesforce Platform license together with Ascent ERP and Ascent Rentals (three components under one login) for users who don't need full CRM access — typically priced lower than buying CRM + Ascent separately. The two types can be mixed within one org (e.g., existing CRM users stay ISV; new business users are added as OEM/platform) and Rootstock will provision the mix accordingly.</w:t>
      </w:r>
    </w:p>
    <w:p>
      <w:pPr>
        <w:spacing w:after="40" w:before="100"/>
      </w:pPr>
      <w:r>
        <w:rPr>
          <w:b/>
          <w:bCs/>
        </w:rPr>
        <w:t xml:space="preserve">Q: </w:t>
      </w:r>
      <w:r>
        <w:rPr>
          <w:b/>
          <w:bCs/>
        </w:rPr>
        <w:t xml:space="preserve">Does an OEM/platform license block access to any standard objects?</w:t>
      </w:r>
    </w:p>
    <w:p>
      <w:pPr>
        <w:spacing w:after="120"/>
      </w:pPr>
      <w:r>
        <w:rPr>
          <w:b/>
          <w:bCs/>
          <w:color w:val="2E5E3E"/>
        </w:rPr>
        <w:t xml:space="preserve">A: </w:t>
      </w:r>
      <w:r>
        <w:t xml:space="preserve">Yes — OEM/platform licenses do not include Opportunities, Cases, or Leads. Products and Orders are included. Ascent has its own Returns object as a substitute for Cases where needed.</w:t>
      </w:r>
    </w:p>
    <w:p>
      <w:pPr>
        <w:spacing w:after="40" w:before="100"/>
      </w:pPr>
      <w:r>
        <w:rPr>
          <w:b/>
          <w:bCs/>
        </w:rPr>
        <w:t xml:space="preserve">Q: </w:t>
      </w:r>
      <w:r>
        <w:rPr>
          <w:b/>
          <w:bCs/>
        </w:rPr>
        <w:t xml:space="preserve">Do Ascent's custom objects and fields count against USME's Salesforce org limits?</w:t>
      </w:r>
    </w:p>
    <w:p>
      <w:pPr>
        <w:spacing w:after="120"/>
      </w:pPr>
      <w:r>
        <w:rPr>
          <w:b/>
          <w:bCs/>
          <w:color w:val="2E5E3E"/>
        </w:rPr>
        <w:t xml:space="preserve">A: </w:t>
      </w:r>
      <w:r>
        <w:t xml:space="preserve">No — because they sit behind Ascent's managed-package namespace, Rootstock's objects and fields do not count against the org's standard custom object/field limits.</w:t>
      </w:r>
    </w:p>
    <w:p>
      <w:pPr>
        <w:spacing w:after="40" w:before="100"/>
      </w:pPr>
      <w:r>
        <w:rPr>
          <w:b/>
          <w:bCs/>
        </w:rPr>
        <w:t xml:space="preserve">Q: </w:t>
      </w:r>
      <w:r>
        <w:rPr>
          <w:b/>
          <w:bCs/>
        </w:rPr>
        <w:t xml:space="preserve">If USME keeps standard Salesforce Quote/Opportunity objects for some users vs. Ascent's native quote object for others, what does that involve?</w:t>
      </w:r>
    </w:p>
    <w:p>
      <w:pPr>
        <w:spacing w:after="120"/>
      </w:pPr>
      <w:r>
        <w:rPr>
          <w:b/>
          <w:bCs/>
          <w:color w:val="2E5E3E"/>
        </w:rPr>
        <w:t xml:space="preserve">A: </w:t>
      </w:r>
      <w:r>
        <w:t xml:space="preserve">Users on a retained Enterprise/CRM license can continue using standard Quote/Opportunity as-is. Users licensed via the OEM/platform path lose access to standard Quote/Opportunity and use Ascent's native quote object instead, which is a 1:1 data-mapping exercise. Historical quote data can be migrated 1:1 if desired, though Rootstock recommends doing that migration after go-live rather than on the critical path; open/in-flight transactions, orders, and quotes at cutover are always migrated regardless of approach. USME will need to make an explicit decision during implementation on which path (or blend) to standardize on, since it drives the CRM license footprint going forward.</w:t>
      </w:r>
    </w:p>
    <w:p>
      <w:pPr>
        <w:spacing w:after="40" w:before="100"/>
      </w:pPr>
      <w:r>
        <w:rPr>
          <w:b/>
          <w:bCs/>
        </w:rPr>
        <w:t xml:space="preserve">Q: </w:t>
      </w:r>
      <w:r>
        <w:rPr>
          <w:b/>
          <w:bCs/>
        </w:rPr>
        <w:t xml:space="preserve">Is Experience Cloud (customer-facing portal) licensing relevant here?</w:t>
      </w:r>
    </w:p>
    <w:p>
      <w:pPr>
        <w:spacing w:after="120"/>
      </w:pPr>
      <w:r>
        <w:rPr>
          <w:b/>
          <w:bCs/>
          <w:color w:val="2E5E3E"/>
        </w:rPr>
        <w:t xml:space="preserve">A: </w:t>
      </w:r>
      <w:r>
        <w:t xml:space="preserve">It is a separate SKU from the internal user licenses discussed above, but can be bundled with Ascent on a named-user basis if/when USME pursues a customer self-service portal — flagged as a likely phase-two consideration rather than part of the initial scope.</w:t>
      </w:r>
    </w:p>
    <w:p>
      <w:pPr>
        <w:pStyle w:val="Heading2"/>
        <w:spacing w:after="80" w:before="200"/>
      </w:pPr>
      <w:r>
        <w:t xml:space="preserve">2.4 Release, upgrade &amp; support management</w:t>
      </w:r>
    </w:p>
    <w:p>
      <w:pPr>
        <w:spacing w:after="40" w:before="100"/>
      </w:pPr>
      <w:r>
        <w:rPr>
          <w:b/>
          <w:bCs/>
        </w:rPr>
        <w:t xml:space="preserve">Q: </w:t>
      </w:r>
      <w:r>
        <w:rPr>
          <w:b/>
          <w:bCs/>
        </w:rPr>
        <w:t xml:space="preserve">Is Ascent's release process push or pull, and how much advance notice does Rootstock get on Salesforce platform changes?</w:t>
      </w:r>
    </w:p>
    <w:p>
      <w:pPr>
        <w:spacing w:after="120"/>
      </w:pPr>
      <w:r>
        <w:rPr>
          <w:b/>
          <w:bCs/>
          <w:color w:val="2E5E3E"/>
        </w:rPr>
        <w:t xml:space="preserve">A: </w:t>
      </w:r>
      <w:r>
        <w:t xml:space="preserve">Pull model — USME always controls when an Ascent update lands in production; every release is delivered to a sandbox first for testing, with no forced production update on a deadline. Salesforce's own platform release communications reach Rootstock through the same channels available to any partner/customer (no special early-access pipeline), though Rootstock said it typically has a bit more lead time and monitors release notes proactively.</w:t>
      </w:r>
    </w:p>
    <w:p>
      <w:pPr>
        <w:spacing w:after="40" w:before="100"/>
      </w:pPr>
      <w:r>
        <w:rPr>
          <w:b/>
          <w:bCs/>
        </w:rPr>
        <w:t xml:space="preserve">Q: </w:t>
      </w:r>
      <w:r>
        <w:rPr>
          <w:b/>
          <w:bCs/>
        </w:rPr>
        <w:t xml:space="preserve">How does testing and UAT work for upgrades, and what support is included at no extra cost?</w:t>
      </w:r>
    </w:p>
    <w:p>
      <w:pPr>
        <w:spacing w:after="120"/>
      </w:pPr>
      <w:r>
        <w:rPr>
          <w:b/>
          <w:bCs/>
          <w:color w:val="2E5E3E"/>
        </w:rPr>
        <w:t xml:space="preserve">A: </w:t>
      </w:r>
      <w:r>
        <w:t xml:space="preserve">Rootstock's product team runs a comprehensive regression suite on every package change, but customer-driven UAT is still expected before any upgrade is accepted into production, using a full sandbox with representative data and the test scripts built during the original implementation; Rootstock's professional services team can assist but will not sign off UAT on USME's behalf. The implementation project concludes with a handoff package (training materials plus written test/regression procedures) intended to double as the living basis for future upgrade regression testing. Initial triage / first-pass analysis on "something doesn't look right" issues is included in the base license cost at no additional charge; deeper consulting, business-process changes, or new-requirements work fall under separate professional services.</w:t>
      </w:r>
    </w:p>
    <w:p>
      <w:pPr>
        <w:pStyle w:val="Heading2"/>
        <w:spacing w:after="80" w:before="200"/>
      </w:pPr>
      <w:r>
        <w:t xml:space="preserve">2.5 Mobility &amp; offline capability</w:t>
      </w:r>
    </w:p>
    <w:p>
      <w:pPr>
        <w:spacing w:after="40" w:before="100"/>
      </w:pPr>
      <w:r>
        <w:rPr>
          <w:b/>
          <w:bCs/>
        </w:rPr>
        <w:t xml:space="preserve">Q: </w:t>
      </w:r>
      <w:r>
        <w:rPr>
          <w:b/>
          <w:bCs/>
        </w:rPr>
        <w:t xml:space="preserve">Does the Ascent package include its own mobile app or offline capability?</w:t>
      </w:r>
    </w:p>
    <w:p>
      <w:pPr>
        <w:spacing w:after="120"/>
      </w:pPr>
      <w:r>
        <w:rPr>
          <w:b/>
          <w:bCs/>
          <w:color w:val="2E5E3E"/>
        </w:rPr>
        <w:t xml:space="preserve">A: </w:t>
      </w:r>
      <w:r>
        <w:t xml:space="preserve">No separate mobile app — Ascent runs entirely inside the standard Salesforce Mobile application (including on industrial scanners such as Zebra devices running Salesforce Mobile), with Rootstock providing templated invocable flows that can be customized. Offline capability is not provided by Ascent at all — it is fully inherited from whatever Salesforce edition/cloud license USME has (noted: certain clouds, e.g., Government Cloud, include offline support) or from a third-party ISV offline add-on; this is a dependency to resolve directly against Salesforce licensing, not something Ascent supplies.</w:t>
      </w:r>
    </w:p>
    <w:p>
      <w:pPr>
        <w:pStyle w:val="Heading2"/>
        <w:spacing w:after="80" w:before="200"/>
      </w:pPr>
      <w:r>
        <w:t xml:space="preserve">2.6 Billing / invoicing capability</w:t>
      </w:r>
    </w:p>
    <w:p>
      <w:pPr>
        <w:spacing w:after="40" w:before="100"/>
      </w:pPr>
      <w:r>
        <w:rPr>
          <w:b/>
          <w:bCs/>
        </w:rPr>
        <w:t xml:space="preserve">Q: </w:t>
      </w:r>
      <w:r>
        <w:rPr>
          <w:b/>
          <w:bCs/>
        </w:rPr>
        <w:t xml:space="preserve">Can Ascent's built-in rental billing/invoicing handle mid-rental changes and typical medical-equipment rental billing scenarios?</w:t>
      </w:r>
    </w:p>
    <w:p>
      <w:pPr>
        <w:spacing w:after="120"/>
      </w:pPr>
      <w:r>
        <w:rPr>
          <w:b/>
          <w:bCs/>
          <w:color w:val="2E5E3E"/>
        </w:rPr>
        <w:t xml:space="preserve">A: </w:t>
      </w:r>
      <w:r>
        <w:t xml:space="preserve">Yes, Ascent has invoicing capability for rentals and can be configured during implementation for mid-rental change scenarios. It is explicitly not a full accounting system — it generates billing documents/entries and hands them to the customer's accounting system (for USME, this maps to the planned Go Transfers → Acumatica flow). A dedicated billing/invoicing deep-dive session was deferred to a later, separate discussion, since USME's billing platform replacement is already under separate implementation. Confirmed requirement either way: rental work-order billing events need to flow from Salesforce/Ascent to the external billing system.</w:t>
      </w:r>
    </w:p>
    <w:p>
      <w:pPr>
        <w:pStyle w:val="Heading2"/>
        <w:spacing w:after="80" w:before="200"/>
      </w:pPr>
      <w:r>
        <w:t xml:space="preserve">2.7 Data storage, PHI &amp; HIPAA handling</w:t>
      </w:r>
    </w:p>
    <w:p>
      <w:pPr>
        <w:spacing w:after="40" w:before="100"/>
      </w:pPr>
      <w:r>
        <w:rPr>
          <w:b/>
          <w:bCs/>
        </w:rPr>
        <w:t xml:space="preserve">Q: </w:t>
      </w:r>
      <w:r>
        <w:rPr>
          <w:b/>
          <w:bCs/>
        </w:rPr>
        <w:t xml:space="preserve">What data storage tier comes with the Ascent licensing, and how are PHI/HIPAA-sensitive invoice documents handled given roughly half of USME's invoices contain PHI?</w:t>
      </w:r>
    </w:p>
    <w:p>
      <w:pPr>
        <w:spacing w:after="120"/>
      </w:pPr>
      <w:r>
        <w:rPr>
          <w:b/>
          <w:bCs/>
          <w:color w:val="2E5E3E"/>
        </w:rPr>
        <w:t xml:space="preserve">A: </w:t>
      </w:r>
      <w:r>
        <w:t xml:space="preserve">Ascent provides no separate data storage tier of its own — storage capability and tier are 100% inherited from whatever Salesforce data-storage subscription USME holds. Salesforce splits storage into file storage (PDF/attachments) and record/metadata storage; Ascent's invoicing often previews or renders a document on demand from stored record data rather than persisting the file, reducing file-storage consumption. Additional storage (file or record) can be purchased through Salesforce, or in some cases through Rootstock at a discounted rate for Ascent-related objects. PHI/HIPAA governance for Ascent objects is expected to follow the same governance procedures USME already applies to Salesforce CRM data today — Rootstock does not provide a separate compliance layer, and will work with USME during implementation to avoid exposing Rootstock's own team to sensitive data.</w:t>
      </w:r>
    </w:p>
    <w:p>
      <w:pPr>
        <w:pStyle w:val="Heading2"/>
        <w:spacing w:after="80" w:before="200"/>
      </w:pPr>
      <w:r>
        <w:t xml:space="preserve">2.8 Native quote PDF generation &amp; email automation</w:t>
      </w:r>
    </w:p>
    <w:p>
      <w:pPr>
        <w:spacing w:after="40" w:before="100"/>
      </w:pPr>
      <w:r>
        <w:rPr>
          <w:b/>
          <w:bCs/>
        </w:rPr>
        <w:t xml:space="preserve">Q: </w:t>
      </w:r>
      <w:r>
        <w:rPr>
          <w:b/>
          <w:bCs/>
        </w:rPr>
        <w:t xml:space="preserve">Is there a native way to generate a quote PDF and auto-email it to the customer, with the customer's response linking back to the record?</w:t>
      </w:r>
    </w:p>
    <w:p>
      <w:pPr>
        <w:spacing w:after="120"/>
      </w:pPr>
      <w:r>
        <w:rPr>
          <w:b/>
          <w:bCs/>
          <w:color w:val="2E5E3E"/>
        </w:rPr>
        <w:t xml:space="preserve">A: </w:t>
      </w:r>
      <w:r>
        <w:t xml:space="preserve">PDF generation via Visualforce templates plus native platform email tools is built into Ascent for sending a document generated from a quote record. Further automation beyond that (e.g., customer accept/decline workflows feeding back automatically) is not out-of-the-box, though Rootstock has custom-built this for other customers before. If document templates need to be highly dynamic, Rootstock recommends moving to a dedicated document-generation tool rather than continually modifying the Visualforce template.</w:t>
      </w:r>
    </w:p>
    <w:p>
      <w:pPr>
        <w:pStyle w:val="Heading2"/>
        <w:spacing w:after="80" w:before="200"/>
      </w:pPr>
      <w:r>
        <w:t xml:space="preserve">2.9 Salesforce Shield / encryption</w:t>
      </w:r>
    </w:p>
    <w:p>
      <w:pPr>
        <w:spacing w:after="40" w:before="100"/>
      </w:pPr>
      <w:r>
        <w:rPr>
          <w:b/>
          <w:bCs/>
        </w:rPr>
        <w:t xml:space="preserve">Q: </w:t>
      </w:r>
      <w:r>
        <w:rPr>
          <w:b/>
          <w:bCs/>
        </w:rPr>
        <w:t xml:space="preserve">Can Salesforce Shield be applied to Ascent's custom objects, and how would Shield licensing work if bundled with Ascent?</w:t>
      </w:r>
    </w:p>
    <w:p>
      <w:pPr>
        <w:spacing w:after="120"/>
      </w:pPr>
      <w:r>
        <w:rPr>
          <w:b/>
          <w:bCs/>
          <w:color w:val="2E5E3E"/>
        </w:rPr>
        <w:t xml:space="preserve">A: </w:t>
      </w:r>
      <w:r>
        <w:t xml:space="preserve">Expected to extend to custom objects, since Ascent objects are standard custom objects from Salesforce's perspective — but this is a product-level question Rootstock could not fully answer on the call. Shield licensing mechanics (worldwide vs. per-object) and behavior specifics (e.g., whether encrypted custom-object fields remain searchable) were not resolved and were deferred to a dedicated follow-up with Rootstock's product team, with Durvah to send the specific questions by email.</w:t>
      </w:r>
    </w:p>
    <w:p>
      <w:pPr>
        <w:pStyle w:val="Heading2"/>
        <w:spacing w:after="80" w:before="200"/>
      </w:pPr>
      <w:r>
        <w:t xml:space="preserve">2.10 Product / price book vs. item master, bundling &amp; dependencies</w:t>
      </w:r>
    </w:p>
    <w:p>
      <w:pPr>
        <w:spacing w:after="40" w:before="100"/>
      </w:pPr>
      <w:r>
        <w:rPr>
          <w:b/>
          <w:bCs/>
        </w:rPr>
        <w:t xml:space="preserve">Q: </w:t>
      </w:r>
      <w:r>
        <w:rPr>
          <w:b/>
          <w:bCs/>
        </w:rPr>
        <w:t xml:space="preserve">Can product bundling and dependency validation (e.g., “product A must be added with products B and C”) be handled natively, or does it require custom development?</w:t>
      </w:r>
    </w:p>
    <w:p>
      <w:pPr>
        <w:spacing w:after="120"/>
      </w:pPr>
      <w:r>
        <w:rPr>
          <w:b/>
          <w:bCs/>
          <w:color w:val="2E5E3E"/>
        </w:rPr>
        <w:t xml:space="preserve">A: </w:t>
      </w:r>
      <w:r>
        <w:t xml:space="preserve">Ascent has its own Item Master and Trade Agreement objects (item master defines rental items; trade agreements define pricing) that can fully replace standard Salesforce Products and Price Books — useful where many users shouldn't have Product/Price Book access at all. Native bundle, sales kit, bill-of-materials, combination, and revision functionality already exists in Ascent's item framework (described as CPQ-like, though not a full CPQ system) — this directly addresses the bundling/dependency gap raised in the earlier discovery discussion. Rootstock confirmed the underlying capability is there but a detailed requirements walkthrough is still needed to confirm full coverage and the desired user experience.</w:t>
      </w:r>
    </w:p>
    <w:p>
      <w:pPr>
        <w:pStyle w:val="Heading2"/>
        <w:spacing w:after="80" w:before="200"/>
      </w:pPr>
      <w:r>
        <w:t xml:space="preserve">2.11 Lot/serial number traceability &amp; recall management</w:t>
      </w:r>
    </w:p>
    <w:p>
      <w:pPr>
        <w:spacing w:after="40" w:before="100"/>
      </w:pPr>
      <w:r>
        <w:rPr>
          <w:b/>
          <w:bCs/>
        </w:rPr>
        <w:t xml:space="preserve">Q: </w:t>
      </w:r>
      <w:r>
        <w:rPr>
          <w:b/>
          <w:bCs/>
        </w:rPr>
        <w:t xml:space="preserve">Does the solution support lot/serial number traceability and recall/lot-number management?</w:t>
      </w:r>
    </w:p>
    <w:p>
      <w:pPr>
        <w:spacing w:after="120"/>
      </w:pPr>
      <w:r>
        <w:rPr>
          <w:b/>
          <w:bCs/>
          <w:color w:val="2E5E3E"/>
        </w:rPr>
        <w:t xml:space="preserve">A: </w:t>
      </w:r>
      <w:r>
        <w:t xml:space="preserve">Not covered in this session. Rootstock confirmed it is part of Ascent's standard functionality and will be shown as part of Friday's demo; a detailed question set on this topic was deferred to the Wednesday follow-up call.</w:t>
      </w:r>
    </w:p>
    <w:p>
      <w:pPr>
        <w:pStyle w:val="Heading1"/>
        <w:spacing w:after="140" w:before="340"/>
      </w:pPr>
      <w:r>
        <w:t xml:space="preserve">3. Key Takeaways for the Decision Document</w:t>
      </w:r>
    </w:p>
    <w:p>
      <w:pPr>
        <w:pStyle w:val="ListParagraph"/>
        <w:numPr>
          <w:ilvl w:val="0"/>
          <w:numId w:val="2"/>
        </w:numPr>
        <w:spacing w:after="60"/>
      </w:pPr>
      <w:r>
        <w:t xml:space="preserve">Architecture is confirmed fully native to Salesforce with no data or processing leaving the platform by default — a positive signal for the platform evaluation.</w:t>
      </w:r>
    </w:p>
    <w:p>
      <w:pPr>
        <w:pStyle w:val="ListParagraph"/>
        <w:numPr>
          <w:ilvl w:val="0"/>
          <w:numId w:val="2"/>
        </w:numPr>
        <w:spacing w:after="60"/>
      </w:pPr>
      <w:r>
        <w:t xml:space="preserve">Licensing is flexible (ISV/OEM mix-and-match) and Ascent's custom objects don't count against org limits, but USME must make an explicit, implementation-time decision on which quoting/object path (standard CRM vs. Ascent native vs. blended) to standardize on, since it directly drives license cost and mix.</w:t>
      </w:r>
    </w:p>
    <w:p>
      <w:pPr>
        <w:pStyle w:val="ListParagraph"/>
        <w:numPr>
          <w:ilvl w:val="0"/>
          <w:numId w:val="2"/>
        </w:numPr>
        <w:spacing w:after="60"/>
      </w:pPr>
      <w:r>
        <w:t xml:space="preserve">Offline mobile capability is not an Ascent feature — it is entirely a function of the underlying Salesforce license/cloud edition, so this must be evaluated directly against Salesforce's offering, not assumed to come with Ascent.</w:t>
      </w:r>
    </w:p>
    <w:p>
      <w:pPr>
        <w:pStyle w:val="ListParagraph"/>
        <w:numPr>
          <w:ilvl w:val="0"/>
          <w:numId w:val="2"/>
        </w:numPr>
        <w:spacing w:after="60"/>
      </w:pPr>
      <w:r>
        <w:t xml:space="preserve">Data storage and PHI/HIPAA compliance are entirely inherited from USME's existing Salesforce subscription and governance practices — no separate Ascent storage tier or compliance layer exists.</w:t>
      </w:r>
    </w:p>
    <w:p>
      <w:pPr>
        <w:pStyle w:val="ListParagraph"/>
        <w:numPr>
          <w:ilvl w:val="0"/>
          <w:numId w:val="2"/>
        </w:numPr>
        <w:spacing w:after="60"/>
      </w:pPr>
      <w:r>
        <w:t xml:space="preserve">Native bundle/kit/BOM/dependency functionality in Ascent's Item Master directly addresses the product-bundling gap raised in the earlier discovery session, subject to a detailed requirements walkthrough.</w:t>
      </w:r>
    </w:p>
    <w:p>
      <w:pPr>
        <w:pStyle w:val="ListParagraph"/>
        <w:numPr>
          <w:ilvl w:val="0"/>
          <w:numId w:val="2"/>
        </w:numPr>
        <w:spacing w:after="60"/>
      </w:pPr>
      <w:r>
        <w:t xml:space="preserve">Three items remain open and require dedicated follow-up: Salesforce Shield licensing/behavior specifics, a deep-dive billing/invoicing capability review (deferred to next year), and lot/serial number &amp; recall management (deferred to Wednesday's call and the Friday demo).</w:t>
      </w:r>
    </w:p>
    <w:p>
      <w:pPr>
        <w:pStyle w:val="Heading1"/>
        <w:spacing w:after="140" w:before="340"/>
      </w:pPr>
      <w:r>
        <w:t xml:space="preserve">4. Action Items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6300"/>
        <w:gridCol w:w="1800"/>
      </w:tblGrid>
      <w:tr>
        <w:trPr>
          <w:tblHeader/>
        </w:trPr>
        <w:tc>
          <w:tcPr>
            <w:tcW w:type="dxa" w:w="1900"/>
            <w:shd w:fill="D9E2F3" w:color="auto" w:val="clear"/>
            <w:tcMar>
              <w:top w:type="dxa" w:w="80"/>
              <w:left w:type="dxa" w:w="100"/>
              <w:bottom w:type="dxa" w:w="80"/>
              <w:right w:type="dxa" w:w="100"/>
            </w:tcMar>
          </w:tcPr>
          <w:p>
            <w:r>
              <w:rPr>
                <w:b/>
                <w:bCs/>
              </w:rPr>
              <w:t xml:space="preserve">Owner</w:t>
            </w:r>
          </w:p>
        </w:tc>
        <w:tc>
          <w:tcPr>
            <w:tcW w:type="dxa" w:w="6300"/>
            <w:shd w:fill="D9E2F3" w:color="auto" w:val="clear"/>
            <w:tcMar>
              <w:top w:type="dxa" w:w="80"/>
              <w:left w:type="dxa" w:w="100"/>
              <w:bottom w:type="dxa" w:w="80"/>
              <w:right w:type="dxa" w:w="100"/>
            </w:tcMar>
          </w:tcPr>
          <w:p>
            <w:r>
              <w:rPr>
                <w:b/>
                <w:bCs/>
              </w:rPr>
              <w:t xml:space="preserve">Action</w:t>
            </w:r>
          </w:p>
        </w:tc>
        <w:tc>
          <w:tcPr>
            <w:tcW w:type="dxa" w:w="1800"/>
            <w:shd w:fill="D9E2F3" w:color="auto" w:val="clear"/>
            <w:tcMar>
              <w:top w:type="dxa" w:w="80"/>
              <w:left w:type="dxa" w:w="100"/>
              <w:bottom w:type="dxa" w:w="80"/>
              <w:right w:type="dxa" w:w="100"/>
            </w:tcMar>
          </w:tcPr>
          <w:p>
            <w:r>
              <w:rPr>
                <w:b/>
                <w:bCs/>
              </w:rPr>
              <w:t xml:space="preserve">Target</w:t>
            </w:r>
          </w:p>
        </w:tc>
      </w:tr>
      <w:tr>
        <w:tc>
          <w:tcPr>
            <w:tcW w:type="dxa" w:w="1900"/>
            <w:tcMar>
              <w:top w:type="dxa" w:w="80"/>
              <w:left w:type="dxa" w:w="100"/>
              <w:bottom w:type="dxa" w:w="80"/>
              <w:right w:type="dxa" w:w="100"/>
            </w:tcMar>
          </w:tcPr>
          <w:p>
            <w:r>
              <w:rPr>
                <w:b w:val="false"/>
                <w:bCs w:val="false"/>
              </w:rPr>
              <w:t xml:space="preserve">Durvah</w:t>
            </w:r>
          </w:p>
        </w:tc>
        <w:tc>
          <w:tcPr>
            <w:tcW w:type="dxa" w:w="6300"/>
            <w:tcMar>
              <w:top w:type="dxa" w:w="80"/>
              <w:left w:type="dxa" w:w="100"/>
              <w:bottom w:type="dxa" w:w="80"/>
              <w:right w:type="dxa" w:w="100"/>
            </w:tcMar>
          </w:tcPr>
          <w:p>
            <w:r>
              <w:rPr>
                <w:b w:val="false"/>
                <w:bCs w:val="false"/>
              </w:rPr>
              <w:t xml:space="preserve">Draft and send Salesforce Shield follow-up questions to Rootstock's product team (per-object vs. worldwide licensing; searchability of encrypted custom-object fields).</w:t>
            </w:r>
          </w:p>
        </w:tc>
        <w:tc>
          <w:tcPr>
            <w:tcW w:type="dxa" w:w="1800"/>
            <w:tcMar>
              <w:top w:type="dxa" w:w="80"/>
              <w:left w:type="dxa" w:w="100"/>
              <w:bottom w:type="dxa" w:w="80"/>
              <w:right w:type="dxa" w:w="100"/>
            </w:tcMar>
          </w:tcPr>
          <w:p>
            <w:r>
              <w:rPr>
                <w:b w:val="false"/>
                <w:bCs w:val="false"/>
              </w:rPr>
              <w:t xml:space="preserve">Before Wednesday session</w:t>
            </w:r>
          </w:p>
        </w:tc>
      </w:tr>
      <w:tr>
        <w:tc>
          <w:tcPr>
            <w:tcW w:type="dxa" w:w="1900"/>
            <w:tcMar>
              <w:top w:type="dxa" w:w="80"/>
              <w:left w:type="dxa" w:w="100"/>
              <w:bottom w:type="dxa" w:w="80"/>
              <w:right w:type="dxa" w:w="100"/>
            </w:tcMar>
          </w:tcPr>
          <w:p>
            <w:r>
              <w:rPr>
                <w:b w:val="false"/>
                <w:bCs w:val="false"/>
              </w:rPr>
              <w:t xml:space="preserve">Durvah + Rootstock</w:t>
            </w:r>
          </w:p>
        </w:tc>
        <w:tc>
          <w:tcPr>
            <w:tcW w:type="dxa" w:w="6300"/>
            <w:tcMar>
              <w:top w:type="dxa" w:w="80"/>
              <w:left w:type="dxa" w:w="100"/>
              <w:bottom w:type="dxa" w:w="80"/>
              <w:right w:type="dxa" w:w="100"/>
            </w:tcMar>
          </w:tcPr>
          <w:p>
            <w:r>
              <w:rPr>
                <w:b w:val="false"/>
                <w:bCs w:val="false"/>
              </w:rPr>
              <w:t xml:space="preserve">Prepare a detailed question set on lot/serial number traceability and recall management for the Wednesday follow-up call.</w:t>
            </w:r>
          </w:p>
        </w:tc>
        <w:tc>
          <w:tcPr>
            <w:tcW w:type="dxa" w:w="1800"/>
            <w:tcMar>
              <w:top w:type="dxa" w:w="80"/>
              <w:left w:type="dxa" w:w="100"/>
              <w:bottom w:type="dxa" w:w="80"/>
              <w:right w:type="dxa" w:w="100"/>
            </w:tcMar>
          </w:tcPr>
          <w:p>
            <w:r>
              <w:rPr>
                <w:b w:val="false"/>
                <w:bCs w:val="false"/>
              </w:rPr>
              <w:t xml:space="preserve">Before Wednesday session</w:t>
            </w:r>
          </w:p>
        </w:tc>
      </w:tr>
      <w:tr>
        <w:tc>
          <w:tcPr>
            <w:tcW w:type="dxa" w:w="1900"/>
            <w:tcMar>
              <w:top w:type="dxa" w:w="80"/>
              <w:left w:type="dxa" w:w="100"/>
              <w:bottom w:type="dxa" w:w="80"/>
              <w:right w:type="dxa" w:w="100"/>
            </w:tcMar>
          </w:tcPr>
          <w:p>
            <w:r>
              <w:rPr>
                <w:b w:val="false"/>
                <w:bCs w:val="false"/>
              </w:rPr>
              <w:t xml:space="preserve">Durvah / USME</w:t>
            </w:r>
          </w:p>
        </w:tc>
        <w:tc>
          <w:tcPr>
            <w:tcW w:type="dxa" w:w="6300"/>
            <w:tcMar>
              <w:top w:type="dxa" w:w="80"/>
              <w:left w:type="dxa" w:w="100"/>
              <w:bottom w:type="dxa" w:w="80"/>
              <w:right w:type="dxa" w:w="100"/>
            </w:tcMar>
          </w:tcPr>
          <w:p>
            <w:r>
              <w:rPr>
                <w:b w:val="false"/>
                <w:bCs w:val="false"/>
              </w:rPr>
              <w:t xml:space="preserve">Decide on the target licensing/object path (standard CRM Quote/Opportunity vs. Ascent native quote/sales order vs. blended model) to include in the decision-making document.</w:t>
            </w:r>
          </w:p>
        </w:tc>
        <w:tc>
          <w:tcPr>
            <w:tcW w:type="dxa" w:w="1800"/>
            <w:tcMar>
              <w:top w:type="dxa" w:w="80"/>
              <w:left w:type="dxa" w:w="100"/>
              <w:bottom w:type="dxa" w:w="80"/>
              <w:right w:type="dxa" w:w="100"/>
            </w:tcMar>
          </w:tcPr>
          <w:p>
            <w:r>
              <w:rPr>
                <w:b w:val="false"/>
                <w:bCs w:val="false"/>
              </w:rPr>
              <w:t xml:space="preserve">Before Thursday decision document</w:t>
            </w:r>
          </w:p>
        </w:tc>
      </w:tr>
      <w:tr>
        <w:tc>
          <w:tcPr>
            <w:tcW w:type="dxa" w:w="1900"/>
            <w:tcMar>
              <w:top w:type="dxa" w:w="80"/>
              <w:left w:type="dxa" w:w="100"/>
              <w:bottom w:type="dxa" w:w="80"/>
              <w:right w:type="dxa" w:w="100"/>
            </w:tcMar>
          </w:tcPr>
          <w:p>
            <w:r>
              <w:rPr>
                <w:b w:val="false"/>
                <w:bCs w:val="false"/>
              </w:rPr>
              <w:t xml:space="preserve">Durvah</w:t>
            </w:r>
          </w:p>
        </w:tc>
        <w:tc>
          <w:tcPr>
            <w:tcW w:type="dxa" w:w="6300"/>
            <w:tcMar>
              <w:top w:type="dxa" w:w="80"/>
              <w:left w:type="dxa" w:w="100"/>
              <w:bottom w:type="dxa" w:w="80"/>
              <w:right w:type="dxa" w:w="100"/>
            </w:tcMar>
          </w:tcPr>
          <w:p>
            <w:r>
              <w:rPr>
                <w:b w:val="false"/>
                <w:bCs w:val="false"/>
              </w:rPr>
              <w:t xml:space="preserve">Confirm with USME whether Experience Cloud / customer self-service is in scope now or phase two, to determine whether to price the Ascent + Experience Cloud bundle now.</w:t>
            </w:r>
          </w:p>
        </w:tc>
        <w:tc>
          <w:tcPr>
            <w:tcW w:type="dxa" w:w="1800"/>
            <w:tcMar>
              <w:top w:type="dxa" w:w="80"/>
              <w:left w:type="dxa" w:w="100"/>
              <w:bottom w:type="dxa" w:w="80"/>
              <w:right w:type="dxa" w:w="100"/>
            </w:tcMar>
          </w:tcPr>
          <w:p>
            <w:r>
              <w:rPr>
                <w:b w:val="false"/>
                <w:bCs w:val="false"/>
              </w:rPr>
              <w:t xml:space="preserve">Before Thursday decision document</w:t>
            </w:r>
          </w:p>
        </w:tc>
      </w:tr>
      <w:tr>
        <w:tc>
          <w:tcPr>
            <w:tcW w:type="dxa" w:w="1900"/>
            <w:tcMar>
              <w:top w:type="dxa" w:w="80"/>
              <w:left w:type="dxa" w:w="100"/>
              <w:bottom w:type="dxa" w:w="80"/>
              <w:right w:type="dxa" w:w="100"/>
            </w:tcMar>
          </w:tcPr>
          <w:p>
            <w:r>
              <w:rPr>
                <w:b w:val="false"/>
                <w:bCs w:val="false"/>
              </w:rPr>
              <w:t xml:space="preserve">Durvah team</w:t>
            </w:r>
          </w:p>
        </w:tc>
        <w:tc>
          <w:tcPr>
            <w:tcW w:type="dxa" w:w="6300"/>
            <w:tcMar>
              <w:top w:type="dxa" w:w="80"/>
              <w:left w:type="dxa" w:w="100"/>
              <w:bottom w:type="dxa" w:w="80"/>
              <w:right w:type="dxa" w:w="100"/>
            </w:tcMar>
          </w:tcPr>
          <w:p>
            <w:r>
              <w:rPr>
                <w:b w:val="false"/>
                <w:bCs w:val="false"/>
              </w:rPr>
              <w:t xml:space="preserve">Continue the working session Tuesday and Wednesday with Rootstock to close remaining ground before Friday's demo.</w:t>
            </w:r>
          </w:p>
        </w:tc>
        <w:tc>
          <w:tcPr>
            <w:tcW w:type="dxa" w:w="1800"/>
            <w:tcMar>
              <w:top w:type="dxa" w:w="80"/>
              <w:left w:type="dxa" w:w="100"/>
              <w:bottom w:type="dxa" w:w="80"/>
              <w:right w:type="dxa" w:w="100"/>
            </w:tcMar>
          </w:tcPr>
          <w:p>
            <w:r>
              <w:rPr>
                <w:b w:val="false"/>
                <w:bCs w:val="false"/>
              </w:rPr>
              <w:t xml:space="preserve">Tue–Wed</w:t>
            </w:r>
          </w:p>
        </w:tc>
      </w:tr>
      <w:tr>
        <w:tc>
          <w:tcPr>
            <w:tcW w:type="dxa" w:w="1900"/>
            <w:tcMar>
              <w:top w:type="dxa" w:w="80"/>
              <w:left w:type="dxa" w:w="100"/>
              <w:bottom w:type="dxa" w:w="80"/>
              <w:right w:type="dxa" w:w="100"/>
            </w:tcMar>
          </w:tcPr>
          <w:p>
            <w:r>
              <w:rPr>
                <w:b w:val="false"/>
                <w:bCs w:val="false"/>
              </w:rPr>
              <w:t xml:space="preserve">Durvah team</w:t>
            </w:r>
          </w:p>
        </w:tc>
        <w:tc>
          <w:tcPr>
            <w:tcW w:type="dxa" w:w="6300"/>
            <w:tcMar>
              <w:top w:type="dxa" w:w="80"/>
              <w:left w:type="dxa" w:w="100"/>
              <w:bottom w:type="dxa" w:w="80"/>
              <w:right w:type="dxa" w:w="100"/>
            </w:tcMar>
          </w:tcPr>
          <w:p>
            <w:r>
              <w:rPr>
                <w:b w:val="false"/>
                <w:bCs w:val="false"/>
              </w:rPr>
              <w:t xml:space="preserve">Fold this session's findings into the consolidated decision-making document (licensing, data, flexibility, scalability, vendor lock-in) for USME leadership.</w:t>
            </w:r>
          </w:p>
        </w:tc>
        <w:tc>
          <w:tcPr>
            <w:tcW w:type="dxa" w:w="1800"/>
            <w:tcMar>
              <w:top w:type="dxa" w:w="80"/>
              <w:left w:type="dxa" w:w="100"/>
              <w:bottom w:type="dxa" w:w="80"/>
              <w:right w:type="dxa" w:w="100"/>
            </w:tcMar>
          </w:tcPr>
          <w:p>
            <w:r>
              <w:rPr>
                <w:b w:val="false"/>
                <w:bCs w:val="false"/>
              </w:rPr>
              <w:t xml:space="preserve">Thursday</w:t>
            </w:r>
          </w:p>
        </w:tc>
      </w:tr>
    </w:tbl>
    <w:p>
      <w:pPr>
        <w:pStyle w:val="Heading1"/>
        <w:spacing w:after="140" w:before="340"/>
      </w:pPr>
      <w:r>
        <w:t xml:space="preserve">5. Next Session</w:t>
      </w:r>
    </w:p>
    <w:p>
      <w:pPr>
        <w:spacing w:after="100"/>
      </w:pPr>
      <w:r>
        <w:t xml:space="preserve">Follow-up working sessions with Rootstock's Ascent team on Tuesday and Wednesday, focused on remaining open items (Shield, lot/serial/recall, billing depth) ahead of Friday's full product demo (10:00 AM–1:00 PM), which will focus on workflow walkthroughs rather than open Q&amp;A.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2026-08-24T16:56:34.444Z</dcterms:created>
  <dcterms:modified xsi:type="dcterms:W3CDTF">2026-08-24T16:56:34.469Z</dcterms:modified>
</cp:coreProperties>
</file>

<file path=docProps/custom.xml><?xml version="1.0" encoding="utf-8"?>
<Properties xmlns="http://schemas.openxmlformats.org/officeDocument/2006/custom-properties" xmlns:vt="http://schemas.openxmlformats.org/officeDocument/2006/docPropsVTypes"/>
</file>