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line="276"/>
        <w:jc w:val="center"/>
      </w:pPr>
      <w:r>
        <w:rPr>
          <w:b/>
          <w:bCs/>
          <w:color w:val="1F3A5F"/>
          <w:sz w:val="72"/>
          <w:szCs w:val="72"/>
        </w:rPr>
        <w:t xml:space="preserve">CellSense AI</w:t>
      </w:r>
    </w:p>
    <w:p>
      <w:pPr>
        <w:spacing w:after="300" w:line="276"/>
        <w:jc w:val="center"/>
      </w:pPr>
      <w:r>
        <w:rPr>
          <w:b/>
          <w:bCs/>
          <w:color w:val="2E8B8B"/>
          <w:sz w:val="34"/>
          <w:szCs w:val="34"/>
        </w:rPr>
        <w:t xml:space="preserve">Industrial EV Fleet Asset Intelligence</w:t>
      </w:r>
    </w:p>
    <w:p>
      <w:pPr>
        <w:spacing w:after="120" w:line="276"/>
        <w:jc w:val="center"/>
      </w:pPr>
      <w:r>
        <w:rPr>
          <w:color w:val="5A6B7B"/>
          <w:sz w:val="24"/>
          <w:szCs w:val="24"/>
        </w:rPr>
        <w:t xml:space="preserve">ET AI Hackathon 2026 (2.0)  ·  Detailed Solution Document</w:t>
      </w:r>
    </w:p>
    <w:p>
      <w:pPr>
        <w:pBdr>
          <w:top w:val="single" w:color="C7D0DA" w:sz="6"/>
          <w:bottom w:val="single" w:color="C7D0DA" w:sz="6"/>
        </w:pBdr>
        <w:spacing w:after="80"/>
        <w:jc w:val="center"/>
      </w:pPr>
      <w:r>
        <w:rPr>
          <w:b/>
          <w:bCs/>
          <w:color w:val="1F3A5F"/>
          <w:sz w:val="24"/>
          <w:szCs w:val="24"/>
        </w:rPr>
        <w:t xml:space="preserve">Problem Statement 3 — AI for Industrial EV Supply Chain &amp; Asset Intelligence: Accelerating Net Zero</w:t>
      </w:r>
    </w:p>
    <w:p>
      <w:pPr>
        <w:spacing w:after="500" w:line="276"/>
        <w:jc w:val="center"/>
      </w:pPr>
      <w:r>
        <w:rPr>
          <w:i/>
          <w:iCs/>
          <w:color w:val="5A6B7B"/>
          <w:sz w:val="20"/>
          <w:szCs w:val="20"/>
        </w:rPr>
        <w:t xml:space="preserve">Theme: Sustainability / EV Manufacturing / Asset Performance Management / Supply Chain</w:t>
      </w:r>
    </w:p>
    <w:p>
      <w:r>
        <w:br w:type="page"/>
      </w:r>
    </w:p>
    <w:p>
      <w:pPr>
        <w:pStyle w:val="Heading1"/>
        <w:spacing w:after="120"/>
      </w:pPr>
      <w:r>
        <w:rPr>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b/>
          <w:bCs/>
          <w:color w:val="1F3A5F"/>
          <w:sz w:val="30"/>
          <w:szCs w:val="30"/>
        </w:rPr>
        <w:t xml:space="preserve">1. Executive Summary</w:t>
      </w:r>
    </w:p>
    <w:p>
      <w:pPr>
        <w:spacing w:after="120" w:before="0" w:line="276"/>
      </w:pPr>
      <w:r>
        <w:rPr>
          <w:sz w:val="21"/>
          <w:szCs w:val="21"/>
        </w:rPr>
        <w:t xml:space="preserve">CellSense AI is an Asset Performance Management (APM) platform for industrial and commercial electric-vehicle fleets. It predicts each battery asset's State of Health (SoH) and Remaining Useful Life (RUL) from real cell-cycling data, ranks the fleet by risk, and — critically — converts every prediction into a grounded, cited maintenance decision using a multi-agent reasoning layer over OEM manuals and safety standards.</w:t>
      </w:r>
    </w:p>
    <w:p>
      <w:pPr>
        <w:spacing w:after="120" w:before="0" w:line="276"/>
      </w:pPr>
      <w:r>
        <w:rPr>
          <w:sz w:val="21"/>
          <w:szCs w:val="21"/>
        </w:rPr>
        <w:t xml:space="preserve">The project deliberately targets the operational bottleneck identified in Problem Statement 3: industrial fleet operators lack the asset-intelligence tooling to manage EV batteries with the same rigour they apply to conventional equipment. CellSense AI treats the battery as the asset, and applies predictive maintenance plus decision intelligence to it.</w:t>
      </w:r>
    </w:p>
    <w:p>
      <w:pPr>
        <w:spacing w:after="160" w:before="0" w:line="276"/>
      </w:pPr>
      <w:r>
        <w:rPr>
          <w:sz w:val="21"/>
          <w:szCs w:val="21"/>
        </w:rPr>
        <w:t xml:space="preserve">Our design principle is feasibility-first: a provable machine-learning core (measured against observed degradation) fused with a natural-language decision layer that no generic battery model provides. This combination maximises the two heaviest judging criteria — Innovation and Business Impact — while remaining fully buildable within the hackathon timeline on free, public data.</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6426"/>
      </w:tblGrid>
      <w:tr>
        <w:trPr>
          <w:tblHeader/>
        </w:trPr>
        <w:tc>
          <w:tcPr>
            <w:tcW w:type="dxa" w:w="26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At a glance</w:t>
            </w:r>
          </w:p>
        </w:tc>
        <w:tc>
          <w:tcPr>
            <w:tcW w:type="dxa" w:w="64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
            </w:r>
          </w:p>
        </w:tc>
      </w:tr>
      <w:tr>
        <w:tc>
          <w:tcPr>
            <w:tcW w:type="dxa" w:w="2600"/>
            <w:shd w:fill="FFFFFF" w:color="auto" w:val="clear"/>
            <w:tcMar>
              <w:top w:type="dxa" w:w="60"/>
              <w:left w:type="dxa" w:w="90"/>
              <w:bottom w:type="dxa" w:w="60"/>
              <w:right w:type="dxa" w:w="90"/>
            </w:tcMar>
            <w:vAlign w:val="center"/>
          </w:tcPr>
          <w:p>
            <w:pPr>
              <w:spacing w:after="0" w:line="264"/>
            </w:pPr>
            <w:r>
              <w:rPr>
                <w:b/>
                <w:bCs/>
                <w:sz w:val="19"/>
                <w:szCs w:val="19"/>
              </w:rPr>
              <w:t xml:space="preserve">What it does</w:t>
            </w:r>
          </w:p>
        </w:tc>
        <w:tc>
          <w:tcPr>
            <w:tcW w:type="dxa" w:w="6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Predicts battery SoH &amp; RUL, ranks fleet risk, generates cited maintenance actions</w:t>
            </w:r>
          </w:p>
        </w:tc>
      </w:tr>
      <w:tr>
        <w:tc>
          <w:tcPr>
            <w:tcW w:type="dxa" w:w="2600"/>
            <w:shd w:fill="F4F7FB" w:color="auto" w:val="clear"/>
            <w:tcMar>
              <w:top w:type="dxa" w:w="60"/>
              <w:left w:type="dxa" w:w="90"/>
              <w:bottom w:type="dxa" w:w="60"/>
              <w:right w:type="dxa" w:w="90"/>
            </w:tcMar>
            <w:vAlign w:val="center"/>
          </w:tcPr>
          <w:p>
            <w:pPr>
              <w:spacing w:after="0" w:line="264"/>
            </w:pPr>
            <w:r>
              <w:rPr>
                <w:b/>
                <w:bCs/>
                <w:sz w:val="19"/>
                <w:szCs w:val="19"/>
              </w:rPr>
              <w:t xml:space="preserve">Core innovation</w:t>
            </w:r>
          </w:p>
        </w:tc>
        <w:tc>
          <w:tcPr>
            <w:tcW w:type="dxa" w:w="64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Decision-Intelligence layer — prediction becomes a grounded, explainable action</w:t>
            </w:r>
          </w:p>
        </w:tc>
      </w:tr>
      <w:tr>
        <w:tc>
          <w:tcPr>
            <w:tcW w:type="dxa" w:w="2600"/>
            <w:shd w:fill="FFFFFF" w:color="auto" w:val="clear"/>
            <w:tcMar>
              <w:top w:type="dxa" w:w="60"/>
              <w:left w:type="dxa" w:w="90"/>
              <w:bottom w:type="dxa" w:w="60"/>
              <w:right w:type="dxa" w:w="90"/>
            </w:tcMar>
            <w:vAlign w:val="center"/>
          </w:tcPr>
          <w:p>
            <w:pPr>
              <w:spacing w:after="0" w:line="264"/>
            </w:pPr>
            <w:r>
              <w:rPr>
                <w:b/>
                <w:bCs/>
                <w:sz w:val="19"/>
                <w:szCs w:val="19"/>
              </w:rPr>
              <w:t xml:space="preserve">Provable metric</w:t>
            </w:r>
          </w:p>
        </w:tc>
        <w:tc>
          <w:tcPr>
            <w:tcW w:type="dxa" w:w="6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RUL / SoH prediction error (RMSE) vs. observed degradation</w:t>
            </w:r>
          </w:p>
        </w:tc>
      </w:tr>
      <w:tr>
        <w:tc>
          <w:tcPr>
            <w:tcW w:type="dxa" w:w="2600"/>
            <w:shd w:fill="F4F7FB" w:color="auto" w:val="clear"/>
            <w:tcMar>
              <w:top w:type="dxa" w:w="60"/>
              <w:left w:type="dxa" w:w="90"/>
              <w:bottom w:type="dxa" w:w="60"/>
              <w:right w:type="dxa" w:w="90"/>
            </w:tcMar>
            <w:vAlign w:val="center"/>
          </w:tcPr>
          <w:p>
            <w:pPr>
              <w:spacing w:after="0" w:line="264"/>
            </w:pPr>
            <w:r>
              <w:rPr>
                <w:b/>
                <w:bCs/>
                <w:sz w:val="19"/>
                <w:szCs w:val="19"/>
              </w:rPr>
              <w:t xml:space="preserve">Data</w:t>
            </w:r>
          </w:p>
        </w:tc>
        <w:tc>
          <w:tcPr>
            <w:tcW w:type="dxa" w:w="64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Real NASA PCoE battery cells (34 cells; core B0005/06/07/18) — 100% real, no synthetic data in the model</w:t>
            </w:r>
          </w:p>
        </w:tc>
      </w:tr>
      <w:tr>
        <w:tc>
          <w:tcPr>
            <w:tcW w:type="dxa" w:w="2600"/>
            <w:shd w:fill="FFFFFF" w:color="auto" w:val="clear"/>
            <w:tcMar>
              <w:top w:type="dxa" w:w="60"/>
              <w:left w:type="dxa" w:w="90"/>
              <w:bottom w:type="dxa" w:w="60"/>
              <w:right w:type="dxa" w:w="90"/>
            </w:tcMar>
            <w:vAlign w:val="center"/>
          </w:tcPr>
          <w:p>
            <w:pPr>
              <w:spacing w:after="0" w:line="264"/>
            </w:pPr>
            <w:r>
              <w:rPr>
                <w:b/>
                <w:bCs/>
                <w:sz w:val="19"/>
                <w:szCs w:val="19"/>
              </w:rPr>
              <w:t xml:space="preserve">Cost to build</w:t>
            </w:r>
          </w:p>
        </w:tc>
        <w:tc>
          <w:tcPr>
            <w:tcW w:type="dxa" w:w="6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Zero — free datasets, open-source stack, free-tier or local LLM</w:t>
            </w:r>
          </w:p>
        </w:tc>
      </w:tr>
    </w:tbl>
    <w:p>
      <w:pPr>
        <w:pStyle w:val="Heading1"/>
        <w:spacing w:after="140" w:before="280"/>
      </w:pPr>
      <w:r>
        <w:rPr>
          <w:b/>
          <w:bCs/>
          <w:color w:val="1F3A5F"/>
          <w:sz w:val="30"/>
          <w:szCs w:val="30"/>
        </w:rPr>
        <w:t xml:space="preserve">2. Problem Understanding</w:t>
      </w:r>
    </w:p>
    <w:p>
      <w:pPr>
        <w:pStyle w:val="Heading2"/>
        <w:spacing w:after="100" w:before="180"/>
      </w:pPr>
      <w:r>
        <w:rPr>
          <w:b/>
          <w:bCs/>
          <w:color w:val="2E6BB0"/>
          <w:sz w:val="25"/>
          <w:szCs w:val="25"/>
        </w:rPr>
        <w:t xml:space="preserve">2.1 Context</w:t>
      </w:r>
    </w:p>
    <w:p>
      <w:pPr>
        <w:spacing w:after="120" w:before="0" w:line="276"/>
      </w:pPr>
      <w:r>
        <w:rPr>
          <w:sz w:val="21"/>
          <w:szCs w:val="21"/>
        </w:rPr>
        <w:t xml:space="preserve">India registered over 2 million EVs in FY2025, yet penetration in industrial and commercial segments — freight, mining, intra-plant logistics, construction equipment — remains below 2.5%. The barrier is no longer purely financial: incentives and total-cost-of-ownership parity with diesel are approaching. The real bottleneck is operational — operators cannot manage battery lifecycle, degradation, and maintenance with the discipline they apply to conventional industrial assets. Meeting India's 30% commercial-EV penetration target by 2030 depends on closing this asset-intelligence gap.</w:t>
      </w:r>
    </w:p>
    <w:p>
      <w:pPr>
        <w:pStyle w:val="Heading2"/>
        <w:spacing w:after="100" w:before="180"/>
      </w:pPr>
      <w:r>
        <w:rPr>
          <w:b/>
          <w:bCs/>
          <w:color w:val="2E6BB0"/>
          <w:sz w:val="25"/>
          <w:szCs w:val="25"/>
        </w:rPr>
        <w:t xml:space="preserve">2.2 Core Problem</w:t>
      </w:r>
    </w:p>
    <w:p>
      <w:pPr>
        <w:spacing w:after="120" w:before="0" w:line="276"/>
      </w:pPr>
      <w:r>
        <w:rPr>
          <w:sz w:val="21"/>
          <w:szCs w:val="21"/>
        </w:rPr>
        <w:t xml:space="preserve">The battery is the single most valuable and most failure-prone asset in an industrial EV, yet its degradation is invisible until it fails. Operators lack (a) reliable remaining-life visibility, (b) fleet-level prioritisation of which asset to act on first, and (c) actionable, trustworthy guidance on what to do about it. The result is unplanned downtime and premature, capital-intensive battery replacement.</w:t>
      </w:r>
    </w:p>
    <w:p>
      <w:pPr>
        <w:pStyle w:val="Heading2"/>
        <w:spacing w:after="100" w:before="180"/>
      </w:pPr>
      <w:r>
        <w:rPr>
          <w:b/>
          <w:bCs/>
          <w:color w:val="2E6BB0"/>
          <w:sz w:val="25"/>
          <w:szCs w:val="25"/>
        </w:rPr>
        <w:t xml:space="preserve">2.3 Root Causes</w:t>
      </w:r>
    </w:p>
    <w:p>
      <w:pPr>
        <w:pStyle w:val="ListParagraph"/>
        <w:numPr>
          <w:ilvl w:val="0"/>
          <w:numId w:val="2"/>
        </w:numPr>
        <w:spacing w:after="70" w:line="270"/>
      </w:pPr>
      <w:r>
        <w:rPr>
          <w:b/>
          <w:bCs/>
          <w:sz w:val="21"/>
          <w:szCs w:val="21"/>
        </w:rPr>
        <w:t xml:space="preserve">Modelling gap — </w:t>
      </w:r>
      <w:r>
        <w:rPr>
          <w:sz w:val="21"/>
          <w:szCs w:val="21"/>
        </w:rPr>
        <w:t xml:space="preserve">Battery degradation is non-linear and difficult to infer from raw telemetry without modelling.</w:t>
      </w:r>
    </w:p>
    <w:p>
      <w:pPr>
        <w:pStyle w:val="ListParagraph"/>
        <w:numPr>
          <w:ilvl w:val="0"/>
          <w:numId w:val="2"/>
        </w:numPr>
        <w:spacing w:after="70" w:line="270"/>
      </w:pPr>
      <w:r>
        <w:rPr>
          <w:b/>
          <w:bCs/>
          <w:sz w:val="21"/>
          <w:szCs w:val="21"/>
        </w:rPr>
        <w:t xml:space="preserve">Decision gap — </w:t>
      </w:r>
      <w:r>
        <w:rPr>
          <w:sz w:val="21"/>
          <w:szCs w:val="21"/>
        </w:rPr>
        <w:t xml:space="preserve">A predicted number alone is not a decision; operators need cause, severity, and a recommended action.</w:t>
      </w:r>
    </w:p>
    <w:p>
      <w:pPr>
        <w:pStyle w:val="ListParagraph"/>
        <w:numPr>
          <w:ilvl w:val="0"/>
          <w:numId w:val="2"/>
        </w:numPr>
        <w:spacing w:after="70" w:line="270"/>
      </w:pPr>
      <w:r>
        <w:rPr>
          <w:b/>
          <w:bCs/>
          <w:sz w:val="21"/>
          <w:szCs w:val="21"/>
        </w:rPr>
        <w:t xml:space="preserve">Knowledge gap — </w:t>
      </w:r>
      <w:r>
        <w:rPr>
          <w:sz w:val="21"/>
          <w:szCs w:val="21"/>
        </w:rPr>
        <w:t xml:space="preserve">OEM procedures, failure modes, warranty terms, and safety standards are fragmented and un-actioned at the point of need.</w:t>
      </w:r>
    </w:p>
    <w:p>
      <w:pPr>
        <w:pStyle w:val="Heading2"/>
        <w:spacing w:after="100" w:before="180"/>
      </w:pPr>
      <w:r>
        <w:rPr>
          <w:b/>
          <w:bCs/>
          <w:color w:val="2E6BB0"/>
          <w:sz w:val="25"/>
          <w:szCs w:val="25"/>
        </w:rPr>
        <w:t xml:space="preserve">2.4 Pain Points</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6026"/>
      </w:tblGrid>
      <w:tr>
        <w:trPr>
          <w:tblHeader/>
        </w:trPr>
        <w:tc>
          <w:tcPr>
            <w:tcW w:type="dxa" w:w="30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Pain point</w:t>
            </w:r>
          </w:p>
        </w:tc>
        <w:tc>
          <w:tcPr>
            <w:tcW w:type="dxa" w:w="60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Consequence</w:t>
            </w:r>
          </w:p>
        </w:tc>
      </w:tr>
      <w:tr>
        <w:tc>
          <w:tcPr>
            <w:tcW w:type="dxa" w:w="3000"/>
            <w:shd w:fill="FFFFFF" w:color="auto" w:val="clear"/>
            <w:tcMar>
              <w:top w:type="dxa" w:w="60"/>
              <w:left w:type="dxa" w:w="90"/>
              <w:bottom w:type="dxa" w:w="60"/>
              <w:right w:type="dxa" w:w="90"/>
            </w:tcMar>
            <w:vAlign w:val="center"/>
          </w:tcPr>
          <w:p>
            <w:pPr>
              <w:spacing w:after="0" w:line="264"/>
            </w:pPr>
            <w:r>
              <w:rPr>
                <w:sz w:val="19"/>
                <w:szCs w:val="19"/>
              </w:rPr>
              <w:t xml:space="preserve">No remaining-useful-life visibility</w:t>
            </w:r>
          </w:p>
        </w:tc>
        <w:tc>
          <w:tcPr>
            <w:tcW w:type="dxa" w:w="6026"/>
            <w:shd w:fill="FFFFFF" w:color="auto" w:val="clear"/>
            <w:tcMar>
              <w:top w:type="dxa" w:w="60"/>
              <w:left w:type="dxa" w:w="90"/>
              <w:bottom w:type="dxa" w:w="60"/>
              <w:right w:type="dxa" w:w="90"/>
            </w:tcMar>
            <w:vAlign w:val="center"/>
          </w:tcPr>
          <w:p>
            <w:pPr>
              <w:spacing w:after="0" w:line="264"/>
            </w:pPr>
            <w:r>
              <w:rPr>
                <w:sz w:val="19"/>
                <w:szCs w:val="19"/>
              </w:rPr>
              <w:t xml:space="preserve">Failures happen without warning; no planning horizon</w:t>
            </w:r>
          </w:p>
        </w:tc>
      </w:tr>
      <w:tr>
        <w:tc>
          <w:tcPr>
            <w:tcW w:type="dxa" w:w="3000"/>
            <w:shd w:fill="F4F7FB" w:color="auto" w:val="clear"/>
            <w:tcMar>
              <w:top w:type="dxa" w:w="60"/>
              <w:left w:type="dxa" w:w="90"/>
              <w:bottom w:type="dxa" w:w="60"/>
              <w:right w:type="dxa" w:w="90"/>
            </w:tcMar>
            <w:vAlign w:val="center"/>
          </w:tcPr>
          <w:p>
            <w:pPr>
              <w:spacing w:after="0" w:line="264"/>
            </w:pPr>
            <w:r>
              <w:rPr>
                <w:sz w:val="19"/>
                <w:szCs w:val="19"/>
              </w:rPr>
              <w:t xml:space="preserve">Premature battery replacement</w:t>
            </w:r>
          </w:p>
        </w:tc>
        <w:tc>
          <w:tcPr>
            <w:tcW w:type="dxa" w:w="6026"/>
            <w:shd w:fill="F4F7FB" w:color="auto" w:val="clear"/>
            <w:tcMar>
              <w:top w:type="dxa" w:w="60"/>
              <w:left w:type="dxa" w:w="90"/>
              <w:bottom w:type="dxa" w:w="60"/>
              <w:right w:type="dxa" w:w="90"/>
            </w:tcMar>
            <w:vAlign w:val="center"/>
          </w:tcPr>
          <w:p>
            <w:pPr>
              <w:spacing w:after="0" w:line="264"/>
            </w:pPr>
            <w:r>
              <w:rPr>
                <w:sz w:val="19"/>
                <w:szCs w:val="19"/>
              </w:rPr>
              <w:t xml:space="preserve">Wasted capital — the battery is 30–40% of vehicle cost</w:t>
            </w:r>
          </w:p>
        </w:tc>
      </w:tr>
      <w:tr>
        <w:tc>
          <w:tcPr>
            <w:tcW w:type="dxa" w:w="3000"/>
            <w:shd w:fill="FFFFFF" w:color="auto" w:val="clear"/>
            <w:tcMar>
              <w:top w:type="dxa" w:w="60"/>
              <w:left w:type="dxa" w:w="90"/>
              <w:bottom w:type="dxa" w:w="60"/>
              <w:right w:type="dxa" w:w="90"/>
            </w:tcMar>
            <w:vAlign w:val="center"/>
          </w:tcPr>
          <w:p>
            <w:pPr>
              <w:spacing w:after="0" w:line="264"/>
            </w:pPr>
            <w:r>
              <w:rPr>
                <w:sz w:val="19"/>
                <w:szCs w:val="19"/>
              </w:rPr>
              <w:t xml:space="preserve">No fleet-level prioritisation</w:t>
            </w:r>
          </w:p>
        </w:tc>
        <w:tc>
          <w:tcPr>
            <w:tcW w:type="dxa" w:w="6026"/>
            <w:shd w:fill="FFFFFF" w:color="auto" w:val="clear"/>
            <w:tcMar>
              <w:top w:type="dxa" w:w="60"/>
              <w:left w:type="dxa" w:w="90"/>
              <w:bottom w:type="dxa" w:w="60"/>
              <w:right w:type="dxa" w:w="90"/>
            </w:tcMar>
            <w:vAlign w:val="center"/>
          </w:tcPr>
          <w:p>
            <w:pPr>
              <w:spacing w:after="0" w:line="264"/>
            </w:pPr>
            <w:r>
              <w:rPr>
                <w:sz w:val="19"/>
                <w:szCs w:val="19"/>
              </w:rPr>
              <w:t xml:space="preserve">Maintenance effort is spread thin, not risk-targeted</w:t>
            </w:r>
          </w:p>
        </w:tc>
      </w:tr>
      <w:tr>
        <w:tc>
          <w:tcPr>
            <w:tcW w:type="dxa" w:w="3000"/>
            <w:shd w:fill="F4F7FB" w:color="auto" w:val="clear"/>
            <w:tcMar>
              <w:top w:type="dxa" w:w="60"/>
              <w:left w:type="dxa" w:w="90"/>
              <w:bottom w:type="dxa" w:w="60"/>
              <w:right w:type="dxa" w:w="90"/>
            </w:tcMar>
            <w:vAlign w:val="center"/>
          </w:tcPr>
          <w:p>
            <w:pPr>
              <w:spacing w:after="0" w:line="264"/>
            </w:pPr>
            <w:r>
              <w:rPr>
                <w:sz w:val="19"/>
                <w:szCs w:val="19"/>
              </w:rPr>
              <w:t xml:space="preserve">Fragmented maintenance knowledge</w:t>
            </w:r>
          </w:p>
        </w:tc>
        <w:tc>
          <w:tcPr>
            <w:tcW w:type="dxa" w:w="6026"/>
            <w:shd w:fill="F4F7FB" w:color="auto" w:val="clear"/>
            <w:tcMar>
              <w:top w:type="dxa" w:w="60"/>
              <w:left w:type="dxa" w:w="90"/>
              <w:bottom w:type="dxa" w:w="60"/>
              <w:right w:type="dxa" w:w="90"/>
            </w:tcMar>
            <w:vAlign w:val="center"/>
          </w:tcPr>
          <w:p>
            <w:pPr>
              <w:spacing w:after="0" w:line="264"/>
            </w:pPr>
            <w:r>
              <w:rPr>
                <w:sz w:val="19"/>
                <w:szCs w:val="19"/>
              </w:rPr>
              <w:t xml:space="preserve">Slow, inconsistent decisions; safety exposure</w:t>
            </w:r>
          </w:p>
        </w:tc>
      </w:tr>
      <w:tr>
        <w:tc>
          <w:tcPr>
            <w:tcW w:type="dxa" w:w="3000"/>
            <w:shd w:fill="FFFFFF" w:color="auto" w:val="clear"/>
            <w:tcMar>
              <w:top w:type="dxa" w:w="60"/>
              <w:left w:type="dxa" w:w="90"/>
              <w:bottom w:type="dxa" w:w="60"/>
              <w:right w:type="dxa" w:w="90"/>
            </w:tcMar>
            <w:vAlign w:val="center"/>
          </w:tcPr>
          <w:p>
            <w:pPr>
              <w:spacing w:after="0" w:line="264"/>
            </w:pPr>
            <w:r>
              <w:rPr>
                <w:sz w:val="19"/>
                <w:szCs w:val="19"/>
              </w:rPr>
              <w:t xml:space="preserve">Thermal / anomaly events missed</w:t>
            </w:r>
          </w:p>
        </w:tc>
        <w:tc>
          <w:tcPr>
            <w:tcW w:type="dxa" w:w="6026"/>
            <w:shd w:fill="FFFFFF" w:color="auto" w:val="clear"/>
            <w:tcMar>
              <w:top w:type="dxa" w:w="60"/>
              <w:left w:type="dxa" w:w="90"/>
              <w:bottom w:type="dxa" w:w="60"/>
              <w:right w:type="dxa" w:w="90"/>
            </w:tcMar>
            <w:vAlign w:val="center"/>
          </w:tcPr>
          <w:p>
            <w:pPr>
              <w:spacing w:after="0" w:line="264"/>
            </w:pPr>
            <w:r>
              <w:rPr>
                <w:sz w:val="19"/>
                <w:szCs w:val="19"/>
              </w:rPr>
              <w:t xml:space="preserve">Safety incidents and unplanned outages</w:t>
            </w:r>
          </w:p>
        </w:tc>
      </w:tr>
    </w:tbl>
    <w:p>
      <w:pPr>
        <w:pStyle w:val="Heading2"/>
        <w:spacing w:after="100" w:before="180"/>
      </w:pPr>
      <w:r>
        <w:rPr>
          <w:b/>
          <w:bCs/>
          <w:color w:val="2E6BB0"/>
          <w:sz w:val="25"/>
          <w:szCs w:val="25"/>
        </w:rPr>
        <w:t xml:space="preserve">2.5 Stakeholders</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6026"/>
      </w:tblGrid>
      <w:tr>
        <w:trPr>
          <w:tblHeader/>
        </w:trPr>
        <w:tc>
          <w:tcPr>
            <w:tcW w:type="dxa" w:w="30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Stakeholder</w:t>
            </w:r>
          </w:p>
        </w:tc>
        <w:tc>
          <w:tcPr>
            <w:tcW w:type="dxa" w:w="60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What they gain</w:t>
            </w:r>
          </w:p>
        </w:tc>
      </w:tr>
      <w:tr>
        <w:tc>
          <w:tcPr>
            <w:tcW w:type="dxa" w:w="3000"/>
            <w:shd w:fill="FFFFFF" w:color="auto" w:val="clear"/>
            <w:tcMar>
              <w:top w:type="dxa" w:w="60"/>
              <w:left w:type="dxa" w:w="90"/>
              <w:bottom w:type="dxa" w:w="60"/>
              <w:right w:type="dxa" w:w="90"/>
            </w:tcMar>
            <w:vAlign w:val="center"/>
          </w:tcPr>
          <w:p>
            <w:pPr>
              <w:spacing w:after="0" w:line="264"/>
            </w:pPr>
            <w:r>
              <w:rPr>
                <w:sz w:val="19"/>
                <w:szCs w:val="19"/>
              </w:rPr>
              <w:t xml:space="preserve">Fleet operations manager</w:t>
            </w:r>
          </w:p>
        </w:tc>
        <w:tc>
          <w:tcPr>
            <w:tcW w:type="dxa" w:w="6026"/>
            <w:shd w:fill="FFFFFF" w:color="auto" w:val="clear"/>
            <w:tcMar>
              <w:top w:type="dxa" w:w="60"/>
              <w:left w:type="dxa" w:w="90"/>
              <w:bottom w:type="dxa" w:w="60"/>
              <w:right w:type="dxa" w:w="90"/>
            </w:tcMar>
            <w:vAlign w:val="center"/>
          </w:tcPr>
          <w:p>
            <w:pPr>
              <w:spacing w:after="0" w:line="264"/>
            </w:pPr>
            <w:r>
              <w:rPr>
                <w:sz w:val="19"/>
                <w:szCs w:val="19"/>
              </w:rPr>
              <w:t xml:space="preserve">Fleet-wide risk visibility and prioritised action list</w:t>
            </w:r>
          </w:p>
        </w:tc>
      </w:tr>
      <w:tr>
        <w:tc>
          <w:tcPr>
            <w:tcW w:type="dxa" w:w="3000"/>
            <w:shd w:fill="F4F7FB" w:color="auto" w:val="clear"/>
            <w:tcMar>
              <w:top w:type="dxa" w:w="60"/>
              <w:left w:type="dxa" w:w="90"/>
              <w:bottom w:type="dxa" w:w="60"/>
              <w:right w:type="dxa" w:w="90"/>
            </w:tcMar>
            <w:vAlign w:val="center"/>
          </w:tcPr>
          <w:p>
            <w:pPr>
              <w:spacing w:after="0" w:line="264"/>
            </w:pPr>
            <w:r>
              <w:rPr>
                <w:sz w:val="19"/>
                <w:szCs w:val="19"/>
              </w:rPr>
              <w:t xml:space="preserve">Maintenance engineer</w:t>
            </w:r>
          </w:p>
        </w:tc>
        <w:tc>
          <w:tcPr>
            <w:tcW w:type="dxa" w:w="6026"/>
            <w:shd w:fill="F4F7FB" w:color="auto" w:val="clear"/>
            <w:tcMar>
              <w:top w:type="dxa" w:w="60"/>
              <w:left w:type="dxa" w:w="90"/>
              <w:bottom w:type="dxa" w:w="60"/>
              <w:right w:type="dxa" w:w="90"/>
            </w:tcMar>
            <w:vAlign w:val="center"/>
          </w:tcPr>
          <w:p>
            <w:pPr>
              <w:spacing w:after="0" w:line="264"/>
            </w:pPr>
            <w:r>
              <w:rPr>
                <w:sz w:val="19"/>
                <w:szCs w:val="19"/>
              </w:rPr>
              <w:t xml:space="preserve">Predicted failures + grounded, cited repair/replace guidance</w:t>
            </w:r>
          </w:p>
        </w:tc>
      </w:tr>
      <w:tr>
        <w:tc>
          <w:tcPr>
            <w:tcW w:type="dxa" w:w="3000"/>
            <w:shd w:fill="FFFFFF" w:color="auto" w:val="clear"/>
            <w:tcMar>
              <w:top w:type="dxa" w:w="60"/>
              <w:left w:type="dxa" w:w="90"/>
              <w:bottom w:type="dxa" w:w="60"/>
              <w:right w:type="dxa" w:w="90"/>
            </w:tcMar>
            <w:vAlign w:val="center"/>
          </w:tcPr>
          <w:p>
            <w:pPr>
              <w:spacing w:after="0" w:line="264"/>
            </w:pPr>
            <w:r>
              <w:rPr>
                <w:sz w:val="19"/>
                <w:szCs w:val="19"/>
              </w:rPr>
              <w:t xml:space="preserve">Sustainability / net-zero officer</w:t>
            </w:r>
          </w:p>
        </w:tc>
        <w:tc>
          <w:tcPr>
            <w:tcW w:type="dxa" w:w="6026"/>
            <w:shd w:fill="FFFFFF" w:color="auto" w:val="clear"/>
            <w:tcMar>
              <w:top w:type="dxa" w:w="60"/>
              <w:left w:type="dxa" w:w="90"/>
              <w:bottom w:type="dxa" w:w="60"/>
              <w:right w:type="dxa" w:w="90"/>
            </w:tcMar>
            <w:vAlign w:val="center"/>
          </w:tcPr>
          <w:p>
            <w:pPr>
              <w:spacing w:after="0" w:line="264"/>
            </w:pPr>
            <w:r>
              <w:rPr>
                <w:sz w:val="19"/>
                <w:szCs w:val="19"/>
              </w:rPr>
              <w:t xml:space="preserve">Asset-level carbon and electrification progress tracking</w:t>
            </w:r>
          </w:p>
        </w:tc>
      </w:tr>
      <w:tr>
        <w:tc>
          <w:tcPr>
            <w:tcW w:type="dxa" w:w="3000"/>
            <w:shd w:fill="F4F7FB" w:color="auto" w:val="clear"/>
            <w:tcMar>
              <w:top w:type="dxa" w:w="60"/>
              <w:left w:type="dxa" w:w="90"/>
              <w:bottom w:type="dxa" w:w="60"/>
              <w:right w:type="dxa" w:w="90"/>
            </w:tcMar>
            <w:vAlign w:val="center"/>
          </w:tcPr>
          <w:p>
            <w:pPr>
              <w:spacing w:after="0" w:line="264"/>
            </w:pPr>
            <w:r>
              <w:rPr>
                <w:sz w:val="19"/>
                <w:szCs w:val="19"/>
              </w:rPr>
              <w:t xml:space="preserve">CFO / capital planning</w:t>
            </w:r>
          </w:p>
        </w:tc>
        <w:tc>
          <w:tcPr>
            <w:tcW w:type="dxa" w:w="6026"/>
            <w:shd w:fill="F4F7FB" w:color="auto" w:val="clear"/>
            <w:tcMar>
              <w:top w:type="dxa" w:w="60"/>
              <w:left w:type="dxa" w:w="90"/>
              <w:bottom w:type="dxa" w:w="60"/>
              <w:right w:type="dxa" w:w="90"/>
            </w:tcMar>
            <w:vAlign w:val="center"/>
          </w:tcPr>
          <w:p>
            <w:pPr>
              <w:spacing w:after="0" w:line="264"/>
            </w:pPr>
            <w:r>
              <w:rPr>
                <w:sz w:val="19"/>
                <w:szCs w:val="19"/>
              </w:rPr>
              <w:t xml:space="preserve">Avoided premature replacement; predictable capital cycles</w:t>
            </w:r>
          </w:p>
        </w:tc>
      </w:tr>
      <w:tr>
        <w:tc>
          <w:tcPr>
            <w:tcW w:type="dxa" w:w="3000"/>
            <w:shd w:fill="FFFFFF" w:color="auto" w:val="clear"/>
            <w:tcMar>
              <w:top w:type="dxa" w:w="60"/>
              <w:left w:type="dxa" w:w="90"/>
              <w:bottom w:type="dxa" w:w="60"/>
              <w:right w:type="dxa" w:w="90"/>
            </w:tcMar>
            <w:vAlign w:val="center"/>
          </w:tcPr>
          <w:p>
            <w:pPr>
              <w:spacing w:after="0" w:line="264"/>
            </w:pPr>
            <w:r>
              <w:rPr>
                <w:sz w:val="19"/>
                <w:szCs w:val="19"/>
              </w:rPr>
              <w:t xml:space="preserve">OEM / battery supplier</w:t>
            </w:r>
          </w:p>
        </w:tc>
        <w:tc>
          <w:tcPr>
            <w:tcW w:type="dxa" w:w="6026"/>
            <w:shd w:fill="FFFFFF" w:color="auto" w:val="clear"/>
            <w:tcMar>
              <w:top w:type="dxa" w:w="60"/>
              <w:left w:type="dxa" w:w="90"/>
              <w:bottom w:type="dxa" w:w="60"/>
              <w:right w:type="dxa" w:w="90"/>
            </w:tcMar>
            <w:vAlign w:val="center"/>
          </w:tcPr>
          <w:p>
            <w:pPr>
              <w:spacing w:after="0" w:line="264"/>
            </w:pPr>
            <w:r>
              <w:rPr>
                <w:sz w:val="19"/>
                <w:szCs w:val="19"/>
              </w:rPr>
              <w:t xml:space="preserve">Field degradation intelligence and warranty insight</w:t>
            </w:r>
          </w:p>
        </w:tc>
      </w:tr>
    </w:tbl>
    <w:p>
      <w:pPr>
        <w:pStyle w:val="Heading1"/>
        <w:spacing w:after="140" w:before="280"/>
      </w:pPr>
      <w:r>
        <w:rPr>
          <w:b/>
          <w:bCs/>
          <w:color w:val="1F3A5F"/>
          <w:sz w:val="30"/>
          <w:szCs w:val="30"/>
        </w:rPr>
        <w:t xml:space="preserve">3. Proposed Solution — CellSense AI</w:t>
      </w:r>
    </w:p>
    <w:p>
      <w:pPr>
        <w:pStyle w:val="Heading2"/>
        <w:spacing w:after="100" w:before="180"/>
      </w:pPr>
      <w:r>
        <w:rPr>
          <w:b/>
          <w:bCs/>
          <w:color w:val="2E6BB0"/>
          <w:sz w:val="25"/>
          <w:szCs w:val="25"/>
        </w:rPr>
        <w:t xml:space="preserve">3.1 Overview</w:t>
      </w:r>
    </w:p>
    <w:p>
      <w:pPr>
        <w:spacing w:after="120" w:before="0" w:line="276"/>
      </w:pPr>
      <w:r>
        <w:rPr>
          <w:sz w:val="21"/>
          <w:szCs w:val="21"/>
        </w:rPr>
        <w:t xml:space="preserve">CellSense AI ingests battery-cycling data for each fleet asset, predicts its current SoH and forecasts its RUL, applies a deterministic rule engine to band risk (Healthy / Watch / Critical), and presents a risk-ranked fleet dashboard. When an operator opens a flagged asset, a three-agent pipeline diagnoses the probable cause, retrieves the relevant procedures from a document corpus, and produces a cited maintenance recommendation with an exportable report.</w:t>
      </w:r>
    </w:p>
    <w:p>
      <w:pPr>
        <w:pStyle w:val="Heading2"/>
        <w:spacing w:after="100" w:before="180"/>
      </w:pPr>
      <w:r>
        <w:rPr>
          <w:b/>
          <w:bCs/>
          <w:color w:val="2E6BB0"/>
          <w:sz w:val="25"/>
          <w:szCs w:val="25"/>
        </w:rPr>
        <w:t xml:space="preserve">3.2 Core Innovation — Decision Intelligence over Prediction</w:t>
      </w:r>
    </w:p>
    <w:p>
      <w:pPr>
        <w:spacing w:after="120" w:before="0" w:line="276"/>
      </w:pPr>
      <w:r>
        <w:rPr>
          <w:sz w:val="21"/>
          <w:szCs w:val="21"/>
        </w:rPr>
        <w:t xml:space="preserve">Most battery projects stop at a prediction. CellSense AI closes the loop from prediction to grounded decision. The machine-learning core produces the number; a Retrieval-Augmented reasoning layer turns that number into an APM decision — for example: "Asset #14 crosses its degradation threshold in ~35 cycles; per maintenance procedure §4.2, schedule cell replacement before the next high-load shift." This is exactly the Asset Performance Management value proposition, delivered with citations for trust and auditability.</w:t>
      </w:r>
    </w:p>
    <w:p>
      <w:pPr>
        <w:pStyle w:val="Heading2"/>
        <w:spacing w:after="100" w:before="180"/>
      </w:pPr>
      <w:r>
        <w:rPr>
          <w:b/>
          <w:bCs/>
          <w:color w:val="2E6BB0"/>
          <w:sz w:val="25"/>
          <w:szCs w:val="25"/>
        </w:rPr>
        <w:t xml:space="preserve">3.3 Key Differentiators</w:t>
      </w:r>
    </w:p>
    <w:p>
      <w:pPr>
        <w:pStyle w:val="ListParagraph"/>
        <w:numPr>
          <w:ilvl w:val="0"/>
          <w:numId w:val="2"/>
        </w:numPr>
        <w:spacing w:after="70" w:line="270"/>
      </w:pPr>
      <w:r>
        <w:rPr>
          <w:b/>
          <w:bCs/>
          <w:sz w:val="21"/>
          <w:szCs w:val="21"/>
        </w:rPr>
        <w:t xml:space="preserve">Trustworthy core — </w:t>
      </w:r>
      <w:r>
        <w:rPr>
          <w:sz w:val="21"/>
          <w:szCs w:val="21"/>
        </w:rPr>
        <w:t xml:space="preserve">Provable ML on real cell data — credibility, not a mock dashboard.</w:t>
      </w:r>
    </w:p>
    <w:p>
      <w:pPr>
        <w:pStyle w:val="ListParagraph"/>
        <w:numPr>
          <w:ilvl w:val="0"/>
          <w:numId w:val="2"/>
        </w:numPr>
        <w:spacing w:after="70" w:line="270"/>
      </w:pPr>
      <w:r>
        <w:rPr>
          <w:b/>
          <w:bCs/>
          <w:sz w:val="21"/>
          <w:szCs w:val="21"/>
        </w:rPr>
        <w:t xml:space="preserve">Explainable &amp; safe — </w:t>
      </w:r>
      <w:r>
        <w:rPr>
          <w:sz w:val="21"/>
          <w:szCs w:val="21"/>
        </w:rPr>
        <w:t xml:space="preserve">RAG-grounded, cited recommendations — no hallucinated safety advice.</w:t>
      </w:r>
    </w:p>
    <w:p>
      <w:pPr>
        <w:pStyle w:val="ListParagraph"/>
        <w:numPr>
          <w:ilvl w:val="0"/>
          <w:numId w:val="2"/>
        </w:numPr>
        <w:spacing w:after="70" w:line="270"/>
      </w:pPr>
      <w:r>
        <w:rPr>
          <w:b/>
          <w:bCs/>
          <w:sz w:val="21"/>
          <w:szCs w:val="21"/>
        </w:rPr>
        <w:t xml:space="preserve">Decision-first — </w:t>
      </w:r>
      <w:r>
        <w:rPr>
          <w:sz w:val="21"/>
          <w:szCs w:val="21"/>
        </w:rPr>
        <w:t xml:space="preserve">Fleet-level prioritisation — ranks assets by degradation and operational criticality.</w:t>
      </w:r>
    </w:p>
    <w:p>
      <w:pPr>
        <w:pStyle w:val="ListParagraph"/>
        <w:numPr>
          <w:ilvl w:val="0"/>
          <w:numId w:val="2"/>
        </w:numPr>
        <w:spacing w:after="70" w:line="270"/>
      </w:pPr>
      <w:r>
        <w:rPr>
          <w:b/>
          <w:bCs/>
          <w:sz w:val="21"/>
          <w:szCs w:val="21"/>
        </w:rPr>
        <w:t xml:space="preserve">Domain-aligned — </w:t>
      </w:r>
      <w:r>
        <w:rPr>
          <w:sz w:val="21"/>
          <w:szCs w:val="21"/>
        </w:rPr>
        <w:t xml:space="preserve">Speaks the language of industrial Asset Performance Management end-to-end.</w:t>
      </w:r>
    </w:p>
    <w:p>
      <w:pPr>
        <w:pStyle w:val="Heading1"/>
        <w:spacing w:after="140" w:before="280"/>
      </w:pPr>
      <w:r>
        <w:rPr>
          <w:b/>
          <w:bCs/>
          <w:color w:val="1F3A5F"/>
          <w:sz w:val="30"/>
          <w:szCs w:val="30"/>
        </w:rPr>
        <w:t xml:space="preserve">4. Scope &amp; Feasibility Strategy</w:t>
      </w:r>
    </w:p>
    <w:p>
      <w:pPr>
        <w:spacing w:after="120" w:before="0" w:line="276"/>
      </w:pPr>
      <w:r>
        <w:rPr>
          <w:sz w:val="21"/>
          <w:szCs w:val="21"/>
        </w:rPr>
        <w:t xml:space="preserve">Problem Statement 3 is intentionally broad, spanning two prongs — fleet asset management and manufacturing supply chain. Attempting both fragments the narrative and the timeline. We commit fully to the fleet-APM prong and cut the rest deliberately.</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4300"/>
        <w:gridCol w:w="2626"/>
      </w:tblGrid>
      <w:tr>
        <w:trPr>
          <w:tblHeader/>
        </w:trPr>
        <w:tc>
          <w:tcPr>
            <w:tcW w:type="dxa" w:w="21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Priority</w:t>
            </w:r>
          </w:p>
        </w:tc>
        <w:tc>
          <w:tcPr>
            <w:tcW w:type="dxa" w:w="43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Component</w:t>
            </w:r>
          </w:p>
        </w:tc>
        <w:tc>
          <w:tcPr>
            <w:tcW w:type="dxa" w:w="26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Decision</w:t>
            </w:r>
          </w:p>
        </w:tc>
      </w:tr>
      <w:tr>
        <w:tc>
          <w:tcPr>
            <w:tcW w:type="dxa" w:w="2100"/>
            <w:shd w:fill="FFFFFF" w:color="auto" w:val="clear"/>
            <w:tcMar>
              <w:top w:type="dxa" w:w="60"/>
              <w:left w:type="dxa" w:w="90"/>
              <w:bottom w:type="dxa" w:w="60"/>
              <w:right w:type="dxa" w:w="90"/>
            </w:tcMar>
            <w:vAlign w:val="center"/>
          </w:tcPr>
          <w:p>
            <w:pPr>
              <w:spacing w:after="0" w:line="264"/>
            </w:pPr>
            <w:r>
              <w:rPr>
                <w:b/>
                <w:bCs/>
                <w:sz w:val="19"/>
                <w:szCs w:val="19"/>
              </w:rPr>
              <w:t xml:space="preserve">Must Have</w:t>
            </w:r>
          </w:p>
        </w:tc>
        <w:tc>
          <w:tcPr>
            <w:tcW w:type="dxa" w:w="4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Battery SoH + RUL prediction (ML core)</w:t>
            </w:r>
          </w:p>
        </w:tc>
        <w:tc>
          <w:tcPr>
            <w:tcW w:type="dxa" w:w="26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Build — provable metric</w:t>
            </w:r>
          </w:p>
        </w:tc>
      </w:tr>
      <w:tr>
        <w:tc>
          <w:tcPr>
            <w:tcW w:type="dxa" w:w="2100"/>
            <w:shd w:fill="F4F7FB" w:color="auto" w:val="clear"/>
            <w:tcMar>
              <w:top w:type="dxa" w:w="60"/>
              <w:left w:type="dxa" w:w="90"/>
              <w:bottom w:type="dxa" w:w="60"/>
              <w:right w:type="dxa" w:w="90"/>
            </w:tcMar>
            <w:vAlign w:val="center"/>
          </w:tcPr>
          <w:p>
            <w:pPr>
              <w:spacing w:after="0" w:line="264"/>
            </w:pPr>
            <w:r>
              <w:rPr>
                <w:b/>
                <w:bCs/>
                <w:sz w:val="19"/>
                <w:szCs w:val="19"/>
              </w:rPr>
              <w:t xml:space="preserve">Must Have</w:t>
            </w:r>
          </w:p>
        </w:tc>
        <w:tc>
          <w:tcPr>
            <w:tcW w:type="dxa" w:w="4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Fleet risk-ranking dashboard</w:t>
            </w:r>
          </w:p>
        </w:tc>
        <w:tc>
          <w:tcPr>
            <w:tcW w:type="dxa" w:w="26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Build — decision surface</w:t>
            </w:r>
          </w:p>
        </w:tc>
      </w:tr>
      <w:tr>
        <w:tc>
          <w:tcPr>
            <w:tcW w:type="dxa" w:w="2100"/>
            <w:shd w:fill="FFFFFF" w:color="auto" w:val="clear"/>
            <w:tcMar>
              <w:top w:type="dxa" w:w="60"/>
              <w:left w:type="dxa" w:w="90"/>
              <w:bottom w:type="dxa" w:w="60"/>
              <w:right w:type="dxa" w:w="90"/>
            </w:tcMar>
            <w:vAlign w:val="center"/>
          </w:tcPr>
          <w:p>
            <w:pPr>
              <w:spacing w:after="0" w:line="264"/>
            </w:pPr>
            <w:r>
              <w:rPr>
                <w:b/>
                <w:bCs/>
                <w:sz w:val="19"/>
                <w:szCs w:val="19"/>
              </w:rPr>
              <w:t xml:space="preserve">Must Have</w:t>
            </w:r>
          </w:p>
        </w:tc>
        <w:tc>
          <w:tcPr>
            <w:tcW w:type="dxa" w:w="4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RAG-grounded maintenance recommendation (agents)</w:t>
            </w:r>
          </w:p>
        </w:tc>
        <w:tc>
          <w:tcPr>
            <w:tcW w:type="dxa" w:w="26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Build — the innovation</w:t>
            </w:r>
          </w:p>
        </w:tc>
      </w:tr>
      <w:tr>
        <w:tc>
          <w:tcPr>
            <w:tcW w:type="dxa" w:w="2100"/>
            <w:shd w:fill="F4F7FB" w:color="auto" w:val="clear"/>
            <w:tcMar>
              <w:top w:type="dxa" w:w="60"/>
              <w:left w:type="dxa" w:w="90"/>
              <w:bottom w:type="dxa" w:w="60"/>
              <w:right w:type="dxa" w:w="90"/>
            </w:tcMar>
            <w:vAlign w:val="center"/>
          </w:tcPr>
          <w:p>
            <w:pPr>
              <w:spacing w:after="0" w:line="264"/>
            </w:pPr>
            <w:r>
              <w:rPr>
                <w:b/>
                <w:bCs/>
                <w:sz w:val="19"/>
                <w:szCs w:val="19"/>
              </w:rPr>
              <w:t xml:space="preserve">Good to Have</w:t>
            </w:r>
          </w:p>
        </w:tc>
        <w:tc>
          <w:tcPr>
            <w:tcW w:type="dxa" w:w="4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Fleet electrification-readiness score + carbon stat</w:t>
            </w:r>
          </w:p>
        </w:tc>
        <w:tc>
          <w:tcPr>
            <w:tcW w:type="dxa" w:w="26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Only if core is demo-solid</w:t>
            </w:r>
          </w:p>
        </w:tc>
      </w:tr>
      <w:tr>
        <w:tc>
          <w:tcPr>
            <w:tcW w:type="dxa" w:w="2100"/>
            <w:shd w:fill="FFFFFF" w:color="auto" w:val="clear"/>
            <w:tcMar>
              <w:top w:type="dxa" w:w="60"/>
              <w:left w:type="dxa" w:w="90"/>
              <w:bottom w:type="dxa" w:w="60"/>
              <w:right w:type="dxa" w:w="90"/>
            </w:tcMar>
            <w:vAlign w:val="center"/>
          </w:tcPr>
          <w:p>
            <w:pPr>
              <w:spacing w:after="0" w:line="264"/>
            </w:pPr>
            <w:r>
              <w:rPr>
                <w:b/>
                <w:bCs/>
                <w:sz w:val="19"/>
                <w:szCs w:val="19"/>
              </w:rPr>
              <w:t xml:space="preserve">Cut</w:t>
            </w:r>
          </w:p>
        </w:tc>
        <w:tc>
          <w:tcPr>
            <w:tcW w:type="dxa" w:w="4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Manufacturing quality intelligence (QMS/SPC)</w:t>
            </w:r>
          </w:p>
        </w:tc>
        <w:tc>
          <w:tcPr>
            <w:tcW w:type="dxa" w:w="26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Different domain — scatter</w:t>
            </w:r>
          </w:p>
        </w:tc>
      </w:tr>
      <w:tr>
        <w:tc>
          <w:tcPr>
            <w:tcW w:type="dxa" w:w="2100"/>
            <w:shd w:fill="F4F7FB" w:color="auto" w:val="clear"/>
            <w:tcMar>
              <w:top w:type="dxa" w:w="60"/>
              <w:left w:type="dxa" w:w="90"/>
              <w:bottom w:type="dxa" w:w="60"/>
              <w:right w:type="dxa" w:w="90"/>
            </w:tcMar>
            <w:vAlign w:val="center"/>
          </w:tcPr>
          <w:p>
            <w:pPr>
              <w:spacing w:after="0" w:line="264"/>
            </w:pPr>
            <w:r>
              <w:rPr>
                <w:b/>
                <w:bCs/>
                <w:sz w:val="19"/>
                <w:szCs w:val="19"/>
              </w:rPr>
              <w:t xml:space="preserve">Cut</w:t>
            </w:r>
          </w:p>
        </w:tc>
        <w:tc>
          <w:tcPr>
            <w:tcW w:type="dxa" w:w="4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Multi-tier material supply-chain risk (Li/Co)</w:t>
            </w:r>
          </w:p>
        </w:tc>
        <w:tc>
          <w:tcPr>
            <w:tcW w:type="dxa" w:w="26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Separate data pipeline — scatter</w:t>
            </w:r>
          </w:p>
        </w:tc>
      </w:tr>
      <w:tr>
        <w:tc>
          <w:tcPr>
            <w:tcW w:type="dxa" w:w="2100"/>
            <w:shd w:fill="FFFFFF" w:color="auto" w:val="clear"/>
            <w:tcMar>
              <w:top w:type="dxa" w:w="60"/>
              <w:left w:type="dxa" w:w="90"/>
              <w:bottom w:type="dxa" w:w="60"/>
              <w:right w:type="dxa" w:w="90"/>
            </w:tcMar>
            <w:vAlign w:val="center"/>
          </w:tcPr>
          <w:p>
            <w:pPr>
              <w:spacing w:after="0" w:line="264"/>
            </w:pPr>
            <w:r>
              <w:rPr>
                <w:b/>
                <w:bCs/>
                <w:sz w:val="19"/>
                <w:szCs w:val="19"/>
              </w:rPr>
              <w:t xml:space="preserve">Cut</w:t>
            </w:r>
          </w:p>
        </w:tc>
        <w:tc>
          <w:tcPr>
            <w:tcW w:type="dxa" w:w="4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Charging-infrastructure optimisation</w:t>
            </w:r>
          </w:p>
        </w:tc>
        <w:tc>
          <w:tcPr>
            <w:tcW w:type="dxa" w:w="26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Low demo payoff</w:t>
            </w:r>
          </w:p>
        </w:tc>
      </w:tr>
      <w:tr>
        <w:tc>
          <w:tcPr>
            <w:tcW w:type="dxa" w:w="2100"/>
            <w:shd w:fill="F4F7FB" w:color="auto" w:val="clear"/>
            <w:tcMar>
              <w:top w:type="dxa" w:w="60"/>
              <w:left w:type="dxa" w:w="90"/>
              <w:bottom w:type="dxa" w:w="60"/>
              <w:right w:type="dxa" w:w="90"/>
            </w:tcMar>
            <w:vAlign w:val="center"/>
          </w:tcPr>
          <w:p>
            <w:pPr>
              <w:spacing w:after="0" w:line="264"/>
            </w:pPr>
            <w:r>
              <w:rPr>
                <w:b/>
                <w:bCs/>
                <w:sz w:val="19"/>
                <w:szCs w:val="19"/>
              </w:rPr>
              <w:t xml:space="preserve">Cut</w:t>
            </w:r>
          </w:p>
        </w:tc>
        <w:tc>
          <w:tcPr>
            <w:tcW w:type="dxa" w:w="4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Full digital twin / knowledge graph</w:t>
            </w:r>
          </w:p>
        </w:tc>
        <w:tc>
          <w:tcPr>
            <w:tcW w:type="dxa" w:w="26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Over-engineering — no marginal score</w:t>
            </w:r>
          </w:p>
        </w:tc>
      </w:tr>
    </w:tbl>
    <w:p>
      <w:pPr>
        <w:spacing w:after="60" w:before="0" w:line="276"/>
      </w:pPr>
      <w:r>
        <w:rPr>
          <w:i/>
          <w:iCs/>
          <w:sz w:val="21"/>
          <w:szCs w:val="21"/>
        </w:rPr>
        <w:t xml:space="preserve">Rationale: one sharp, complete story scores higher than two blurry, half-finished ones. Every cut component would consume a full workstream while adding no marginal judging points beyond what the fleet-APM story already earns.</w:t>
      </w:r>
    </w:p>
    <w:p>
      <w:pPr>
        <w:sectPr>
          <w:pgSz w:w="11906" w:h="16838" w:orient="portrait"/>
          <w:pgMar w:top="1300" w:right="1300" w:bottom="1300" w:left="1300" w:header="708" w:footer="708" w:gutter="0"/>
          <w:pgNumType/>
          <w:docGrid w:linePitch="360"/>
        </w:sectPr>
      </w:pPr>
    </w:p>
    <w:p>
      <w:pPr>
        <w:pStyle w:val="Heading1"/>
        <w:spacing w:after="120"/>
      </w:pPr>
      <w:r>
        <w:rPr>
          <w:b/>
          <w:bCs/>
          <w:color w:val="1F3A5F"/>
          <w:sz w:val="30"/>
          <w:szCs w:val="30"/>
        </w:rPr>
        <w:t xml:space="preserve">5. System Architecture</w:t>
      </w:r>
    </w:p>
    <w:p>
      <w:pPr>
        <w:jc w:val="center"/>
      </w:pPr>
      <w:r>
        <w:drawing>
          <wp:inline distT="0" distB="0" distL="0" distR="0">
            <wp:extent cx="80010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01000" cy="5695950"/>
                    </a:xfrm>
                    <a:prstGeom prst="rect">
                      <a:avLst/>
                    </a:prstGeom>
                  </pic:spPr>
                </pic:pic>
              </a:graphicData>
            </a:graphic>
          </wp:inline>
        </w:drawing>
      </w:r>
    </w:p>
    <w:p>
      <w:pPr>
        <w:spacing w:after="120" w:line="276"/>
        <w:jc w:val="center"/>
      </w:pPr>
      <w:r>
        <w:rPr>
          <w:i/>
          <w:iCs/>
          <w:color w:val="5A6B7B"/>
          <w:sz w:val="18"/>
          <w:szCs w:val="18"/>
        </w:rPr>
        <w:t xml:space="preserve">Figure 1 — CellSense AI layered system architecture and agentic decision flow.</w:t>
      </w:r>
    </w:p>
    <w:p>
      <w:pPr>
        <w:sectPr>
          <w:pgSz w:w="16838" w:h="11906" w:orient="landscape"/>
          <w:pgMar w:top="400" w:right="500" w:bottom="400" w:left="500" w:header="708" w:footer="708" w:gutter="0"/>
          <w:pgNumType/>
          <w:docGrid w:linePitch="360"/>
        </w:sectPr>
      </w:pPr>
    </w:p>
    <w:p>
      <w:pPr>
        <w:pStyle w:val="Heading2"/>
        <w:spacing w:after="100" w:before="180"/>
      </w:pPr>
      <w:r>
        <w:rPr>
          <w:b/>
          <w:bCs/>
          <w:color w:val="2E6BB0"/>
          <w:sz w:val="25"/>
          <w:szCs w:val="25"/>
        </w:rPr>
        <w:t xml:space="preserve">5.1 Component Responsibilities</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2400"/>
        <w:gridCol w:w="6626"/>
      </w:tblGrid>
      <w:tr>
        <w:trPr>
          <w:tblHeader/>
        </w:trPr>
        <w:tc>
          <w:tcPr>
            <w:tcW w:type="dxa" w:w="24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Layer / Component</w:t>
            </w:r>
          </w:p>
        </w:tc>
        <w:tc>
          <w:tcPr>
            <w:tcW w:type="dxa" w:w="66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Responsibility</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Frontend (React)</w:t>
            </w:r>
          </w:p>
        </w:tc>
        <w:tc>
          <w:tcPr>
            <w:tcW w:type="dxa" w:w="66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Renders fleet table, per-asset SoH/RUL charts, recommendation panel. No business logic.</w:t>
            </w:r>
          </w:p>
        </w:tc>
      </w:tr>
      <w:tr>
        <w:tc>
          <w:tcPr>
            <w:tcW w:type="dxa" w:w="2400"/>
            <w:shd w:fill="F4F7FB" w:color="auto" w:val="clear"/>
            <w:tcMar>
              <w:top w:type="dxa" w:w="60"/>
              <w:left w:type="dxa" w:w="90"/>
              <w:bottom w:type="dxa" w:w="60"/>
              <w:right w:type="dxa" w:w="90"/>
            </w:tcMar>
            <w:vAlign w:val="center"/>
          </w:tcPr>
          <w:p>
            <w:pPr>
              <w:spacing w:after="0" w:line="264"/>
            </w:pPr>
            <w:r>
              <w:rPr>
                <w:b/>
                <w:bCs/>
                <w:sz w:val="19"/>
                <w:szCs w:val="19"/>
              </w:rPr>
              <w:t xml:space="preserve">Backend (FastAPI)</w:t>
            </w:r>
          </w:p>
        </w:tc>
        <w:tc>
          <w:tcPr>
            <w:tcW w:type="dxa" w:w="66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Single API gateway; loads models, serves predictions, runs rule engine, orchestrates agents, persists results.</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ML Models</w:t>
            </w:r>
          </w:p>
        </w:tc>
        <w:tc>
          <w:tcPr>
            <w:tcW w:type="dxa" w:w="66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Offline-trained SoH &amp; RUL models loaded as artifacts; batch inference across the fleet.</w:t>
            </w:r>
          </w:p>
        </w:tc>
      </w:tr>
      <w:tr>
        <w:tc>
          <w:tcPr>
            <w:tcW w:type="dxa" w:w="2400"/>
            <w:shd w:fill="F4F7FB" w:color="auto" w:val="clear"/>
            <w:tcMar>
              <w:top w:type="dxa" w:w="60"/>
              <w:left w:type="dxa" w:w="90"/>
              <w:bottom w:type="dxa" w:w="60"/>
              <w:right w:type="dxa" w:w="90"/>
            </w:tcMar>
            <w:vAlign w:val="center"/>
          </w:tcPr>
          <w:p>
            <w:pPr>
              <w:spacing w:after="0" w:line="264"/>
            </w:pPr>
            <w:r>
              <w:rPr>
                <w:b/>
                <w:bCs/>
                <w:sz w:val="19"/>
                <w:szCs w:val="19"/>
              </w:rPr>
              <w:t xml:space="preserve">Rule Engine</w:t>
            </w:r>
          </w:p>
        </w:tc>
        <w:tc>
          <w:tcPr>
            <w:tcW w:type="dxa" w:w="66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Deterministic risk banding and safety thresholds — owns all safety-critical decisions (no LLM).</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Agent / LLM Layer</w:t>
            </w:r>
          </w:p>
        </w:tc>
        <w:tc>
          <w:tcPr>
            <w:tcW w:type="dxa" w:w="66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Three agents reason over predictions + retrieved documents to produce cited recommendations.</w:t>
            </w:r>
          </w:p>
        </w:tc>
      </w:tr>
      <w:tr>
        <w:tc>
          <w:tcPr>
            <w:tcW w:type="dxa" w:w="2400"/>
            <w:shd w:fill="F4F7FB" w:color="auto" w:val="clear"/>
            <w:tcMar>
              <w:top w:type="dxa" w:w="60"/>
              <w:left w:type="dxa" w:w="90"/>
              <w:bottom w:type="dxa" w:w="60"/>
              <w:right w:type="dxa" w:w="90"/>
            </w:tcMar>
            <w:vAlign w:val="center"/>
          </w:tcPr>
          <w:p>
            <w:pPr>
              <w:spacing w:after="0" w:line="264"/>
            </w:pPr>
            <w:r>
              <w:rPr>
                <w:b/>
                <w:bCs/>
                <w:sz w:val="19"/>
                <w:szCs w:val="19"/>
              </w:rPr>
              <w:t xml:space="preserve">RAG + Vector DB</w:t>
            </w:r>
          </w:p>
        </w:tc>
        <w:tc>
          <w:tcPr>
            <w:tcW w:type="dxa" w:w="66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Embeds and retrieves OEM/procedure chunks (ChromaDB) to ground every recommendation.</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Relational DB</w:t>
            </w:r>
          </w:p>
        </w:tc>
        <w:tc>
          <w:tcPr>
            <w:tcW w:type="dxa" w:w="66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System of record: assets, telemetry, predictions, recommendations, feedback log.</w:t>
            </w:r>
          </w:p>
        </w:tc>
      </w:tr>
      <w:tr>
        <w:tc>
          <w:tcPr>
            <w:tcW w:type="dxa" w:w="2400"/>
            <w:shd w:fill="F4F7FB" w:color="auto" w:val="clear"/>
            <w:tcMar>
              <w:top w:type="dxa" w:w="60"/>
              <w:left w:type="dxa" w:w="90"/>
              <w:bottom w:type="dxa" w:w="60"/>
              <w:right w:type="dxa" w:w="90"/>
            </w:tcMar>
            <w:vAlign w:val="center"/>
          </w:tcPr>
          <w:p>
            <w:pPr>
              <w:spacing w:after="0" w:line="264"/>
            </w:pPr>
            <w:r>
              <w:rPr>
                <w:b/>
                <w:bCs/>
                <w:sz w:val="19"/>
                <w:szCs w:val="19"/>
              </w:rPr>
              <w:t xml:space="preserve">Auth</w:t>
            </w:r>
          </w:p>
        </w:tc>
        <w:tc>
          <w:tcPr>
            <w:tcW w:type="dxa" w:w="66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Mock single-role session only — deliberately out of scope for the prototype.</w:t>
            </w:r>
          </w:p>
        </w:tc>
      </w:tr>
    </w:tbl>
    <w:p>
      <w:pPr>
        <w:pStyle w:val="Heading1"/>
        <w:spacing w:after="140" w:before="280"/>
      </w:pPr>
      <w:r>
        <w:rPr>
          <w:b/>
          <w:bCs/>
          <w:color w:val="1F3A5F"/>
          <w:sz w:val="30"/>
          <w:szCs w:val="30"/>
        </w:rPr>
        <w:t xml:space="preserve">6. End-to-End Pipeline</w:t>
      </w:r>
    </w:p>
    <w:p>
      <w:pPr>
        <w:spacing w:after="120" w:before="0" w:line="276"/>
      </w:pPr>
      <w:r>
        <w:rPr>
          <w:sz w:val="21"/>
          <w:szCs w:val="21"/>
        </w:rPr>
        <w:t xml:space="preserve">The system runs in two modes: batch inference across the whole fleet, and on-demand agentic reasoning when an operator opens a flagged asset (keeping LLM calls minimal and the demo fast).</w:t>
      </w:r>
    </w:p>
    <w:p>
      <w:pPr>
        <w:spacing w:after="40"/>
        <w:jc w:val="center"/>
      </w:pPr>
      <w:r>
        <w:rPr>
          <w:b/>
          <w:bCs/>
          <w:color w:val="1F3A5F"/>
          <w:sz w:val="20"/>
          <w:szCs w:val="20"/>
        </w:rPr>
        <w:t xml:space="preserve">Battery cycle data + fleet metadata  (Input)</w:t>
      </w:r>
      <w:r>
        <w:rPr>
          <w:color w:val="5A6B7B"/>
          <w:sz w:val="20"/>
          <w:szCs w:val="20"/>
        </w:rPr>
        <w:t xml:space="preserve">   ↓</w:t>
      </w:r>
    </w:p>
    <w:p>
      <w:pPr>
        <w:spacing w:after="40"/>
        <w:jc w:val="center"/>
      </w:pPr>
      <w:r>
        <w:rPr>
          <w:b w:val="false"/>
          <w:bCs w:val="false"/>
          <w:color w:val="33424F"/>
          <w:sz w:val="20"/>
          <w:szCs w:val="20"/>
        </w:rPr>
        <w:t xml:space="preserve">Data Ingestion  —  load datasets, normalise schema</w:t>
      </w:r>
      <w:r>
        <w:rPr>
          <w:color w:val="5A6B7B"/>
          <w:sz w:val="20"/>
          <w:szCs w:val="20"/>
        </w:rPr>
        <w:t xml:space="preserve">   ↓</w:t>
      </w:r>
    </w:p>
    <w:p>
      <w:pPr>
        <w:spacing w:after="40"/>
        <w:jc w:val="center"/>
      </w:pPr>
      <w:r>
        <w:rPr>
          <w:b w:val="false"/>
          <w:bCs w:val="false"/>
          <w:color w:val="33424F"/>
          <w:sz w:val="20"/>
          <w:szCs w:val="20"/>
        </w:rPr>
        <w:t xml:space="preserve">Data Cleaning  —  drop corrupt cycles, align sampling, handle gaps</w:t>
      </w:r>
      <w:r>
        <w:rPr>
          <w:color w:val="5A6B7B"/>
          <w:sz w:val="20"/>
          <w:szCs w:val="20"/>
        </w:rPr>
        <w:t xml:space="preserve">   ↓</w:t>
      </w:r>
    </w:p>
    <w:p>
      <w:pPr>
        <w:spacing w:after="40"/>
        <w:jc w:val="center"/>
      </w:pPr>
      <w:r>
        <w:rPr>
          <w:b w:val="false"/>
          <w:bCs w:val="false"/>
          <w:color w:val="33424F"/>
          <w:sz w:val="20"/>
          <w:szCs w:val="20"/>
        </w:rPr>
        <w:t xml:space="preserve">Feature Engineering  —  capacity-fade, cycle count, voltage/temperature curve features</w:t>
      </w:r>
      <w:r>
        <w:rPr>
          <w:color w:val="5A6B7B"/>
          <w:sz w:val="20"/>
          <w:szCs w:val="20"/>
        </w:rPr>
        <w:t xml:space="preserve">   ↓</w:t>
      </w:r>
    </w:p>
    <w:p>
      <w:pPr>
        <w:spacing w:after="40"/>
        <w:jc w:val="center"/>
      </w:pPr>
      <w:r>
        <w:rPr>
          <w:b w:val="false"/>
          <w:bCs w:val="false"/>
          <w:color w:val="33424F"/>
          <w:sz w:val="20"/>
          <w:szCs w:val="20"/>
        </w:rPr>
        <w:t xml:space="preserve">ML Inference  —  SoH now + RUL forecast per asset</w:t>
      </w:r>
      <w:r>
        <w:rPr>
          <w:color w:val="5A6B7B"/>
          <w:sz w:val="20"/>
          <w:szCs w:val="20"/>
        </w:rPr>
        <w:t xml:space="preserve">   ↓</w:t>
      </w:r>
    </w:p>
    <w:p>
      <w:pPr>
        <w:spacing w:after="40"/>
        <w:jc w:val="center"/>
      </w:pPr>
      <w:r>
        <w:rPr>
          <w:b w:val="false"/>
          <w:bCs w:val="false"/>
          <w:color w:val="33424F"/>
          <w:sz w:val="20"/>
          <w:szCs w:val="20"/>
        </w:rPr>
        <w:t xml:space="preserve">Rule Engine  —  risk banding: Healthy / Watch / Critical</w:t>
      </w:r>
      <w:r>
        <w:rPr>
          <w:color w:val="5A6B7B"/>
          <w:sz w:val="20"/>
          <w:szCs w:val="20"/>
        </w:rPr>
        <w:t xml:space="preserve">   ↓</w:t>
      </w:r>
    </w:p>
    <w:p>
      <w:pPr>
        <w:spacing w:after="40"/>
        <w:jc w:val="center"/>
      </w:pPr>
      <w:r>
        <w:rPr>
          <w:b w:val="false"/>
          <w:bCs w:val="false"/>
          <w:color w:val="33424F"/>
          <w:sz w:val="20"/>
          <w:szCs w:val="20"/>
        </w:rPr>
        <w:t xml:space="preserve">Agent Orchestration  —  Monitor → Diagnose (RAG) → Recommend</w:t>
      </w:r>
      <w:r>
        <w:rPr>
          <w:color w:val="5A6B7B"/>
          <w:sz w:val="20"/>
          <w:szCs w:val="20"/>
        </w:rPr>
        <w:t xml:space="preserve">   ↓</w:t>
      </w:r>
    </w:p>
    <w:p>
      <w:pPr>
        <w:spacing w:after="40"/>
        <w:jc w:val="center"/>
      </w:pPr>
      <w:r>
        <w:rPr>
          <w:b w:val="false"/>
          <w:bCs w:val="false"/>
          <w:color w:val="33424F"/>
          <w:sz w:val="20"/>
          <w:szCs w:val="20"/>
        </w:rPr>
        <w:t xml:space="preserve">Prediction + Recommendation persisted</w:t>
      </w:r>
      <w:r>
        <w:rPr>
          <w:color w:val="5A6B7B"/>
          <w:sz w:val="20"/>
          <w:szCs w:val="20"/>
        </w:rPr>
        <w:t xml:space="preserve">   ↓</w:t>
      </w:r>
    </w:p>
    <w:p>
      <w:pPr>
        <w:spacing w:after="40"/>
        <w:jc w:val="center"/>
      </w:pPr>
      <w:r>
        <w:rPr>
          <w:b w:val="false"/>
          <w:bCs w:val="false"/>
          <w:color w:val="33424F"/>
          <w:sz w:val="20"/>
          <w:szCs w:val="20"/>
        </w:rPr>
        <w:t xml:space="preserve">Dashboard Visualisation  —  fleet ranking + drill-down + reco panel</w:t>
      </w:r>
      <w:r>
        <w:rPr>
          <w:color w:val="5A6B7B"/>
          <w:sz w:val="20"/>
          <w:szCs w:val="20"/>
        </w:rPr>
        <w:t xml:space="preserve">   ↓</w:t>
      </w:r>
    </w:p>
    <w:p>
      <w:pPr>
        <w:spacing w:after="40"/>
        <w:jc w:val="center"/>
      </w:pPr>
      <w:r>
        <w:rPr>
          <w:b w:val="false"/>
          <w:bCs w:val="false"/>
          <w:color w:val="33424F"/>
          <w:sz w:val="20"/>
          <w:szCs w:val="20"/>
        </w:rPr>
        <w:t xml:space="preserve">User Action  —  acknowledge / schedule / dismiss</w:t>
      </w:r>
      <w:r>
        <w:rPr>
          <w:color w:val="5A6B7B"/>
          <w:sz w:val="20"/>
          <w:szCs w:val="20"/>
        </w:rPr>
        <w:t xml:space="preserve">   ↓</w:t>
      </w:r>
    </w:p>
    <w:p>
      <w:pPr>
        <w:spacing w:after="40"/>
        <w:jc w:val="center"/>
      </w:pPr>
      <w:r>
        <w:rPr>
          <w:b/>
          <w:bCs/>
          <w:color w:val="5E8B3A"/>
          <w:sz w:val="20"/>
          <w:szCs w:val="20"/>
        </w:rPr>
        <w:t xml:space="preserve">Feedback Loop  —  actions logged to refine models &amp; prompts</w:t>
      </w:r>
    </w:p>
    <w:p>
      <w:pPr>
        <w:pStyle w:val="Heading1"/>
        <w:spacing w:after="140" w:before="280"/>
      </w:pPr>
      <w:r>
        <w:rPr>
          <w:b/>
          <w:bCs/>
          <w:color w:val="1F3A5F"/>
          <w:sz w:val="30"/>
          <w:szCs w:val="30"/>
        </w:rPr>
        <w:t xml:space="preserve">7. AI &amp; ML Approach</w:t>
      </w:r>
    </w:p>
    <w:p>
      <w:pPr>
        <w:spacing w:after="120" w:before="0" w:line="276"/>
      </w:pPr>
      <w:r>
        <w:rPr>
          <w:sz w:val="21"/>
          <w:szCs w:val="21"/>
        </w:rPr>
        <w:t xml:space="preserve">AI is applied only where it earns its place. Prediction is done by traditional ML (deterministic and provable); reasoning and language are done by the LLM/RAG layer; safety-critical banding stays with a rule engine to avoid hallucination.</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2200"/>
        <w:gridCol w:w="3300"/>
        <w:gridCol w:w="3526"/>
      </w:tblGrid>
      <w:tr>
        <w:trPr>
          <w:tblHeader/>
        </w:trPr>
        <w:tc>
          <w:tcPr>
            <w:tcW w:type="dxa" w:w="22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AI type</w:t>
            </w:r>
          </w:p>
        </w:tc>
        <w:tc>
          <w:tcPr>
            <w:tcW w:type="dxa" w:w="33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Where used</w:t>
            </w:r>
          </w:p>
        </w:tc>
        <w:tc>
          <w:tcPr>
            <w:tcW w:type="dxa" w:w="35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Why it is needed</w:t>
            </w:r>
          </w:p>
        </w:tc>
      </w:tr>
      <w:tr>
        <w:tc>
          <w:tcPr>
            <w:tcW w:type="dxa" w:w="2200"/>
            <w:shd w:fill="FFFFFF" w:color="auto" w:val="clear"/>
            <w:tcMar>
              <w:top w:type="dxa" w:w="60"/>
              <w:left w:type="dxa" w:w="90"/>
              <w:bottom w:type="dxa" w:w="60"/>
              <w:right w:type="dxa" w:w="90"/>
            </w:tcMar>
            <w:vAlign w:val="center"/>
          </w:tcPr>
          <w:p>
            <w:pPr>
              <w:spacing w:after="0" w:line="264"/>
            </w:pPr>
            <w:r>
              <w:rPr>
                <w:b/>
                <w:bCs/>
                <w:sz w:val="19"/>
                <w:szCs w:val="19"/>
              </w:rPr>
              <w:t xml:space="preserve">Traditional ML</w:t>
            </w:r>
          </w:p>
        </w:tc>
        <w:tc>
          <w:tcPr>
            <w:tcW w:type="dxa" w:w="3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SoH estimation, RUL prediction</w:t>
            </w:r>
          </w:p>
        </w:tc>
        <w:tc>
          <w:tcPr>
            <w:tcW w:type="dxa" w:w="3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The provable core metric judges measure; fast and credible</w:t>
            </w:r>
          </w:p>
        </w:tc>
      </w:tr>
      <w:tr>
        <w:tc>
          <w:tcPr>
            <w:tcW w:type="dxa" w:w="2200"/>
            <w:shd w:fill="F4F7FB" w:color="auto" w:val="clear"/>
            <w:tcMar>
              <w:top w:type="dxa" w:w="60"/>
              <w:left w:type="dxa" w:w="90"/>
              <w:bottom w:type="dxa" w:w="60"/>
              <w:right w:type="dxa" w:w="90"/>
            </w:tcMar>
            <w:vAlign w:val="center"/>
          </w:tcPr>
          <w:p>
            <w:pPr>
              <w:spacing w:after="0" w:line="264"/>
            </w:pPr>
            <w:r>
              <w:rPr>
                <w:b/>
                <w:bCs/>
                <w:sz w:val="19"/>
                <w:szCs w:val="19"/>
              </w:rPr>
              <w:t xml:space="preserve">Predictive analytics</w:t>
            </w:r>
          </w:p>
        </w:tc>
        <w:tc>
          <w:tcPr>
            <w:tcW w:type="dxa" w:w="3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Degradation-trajectory forecasting</w:t>
            </w:r>
          </w:p>
        </w:tc>
        <w:tc>
          <w:tcPr>
            <w:tcW w:type="dxa" w:w="3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Produces the RUL 'knee' curve — the visual hook</w:t>
            </w:r>
          </w:p>
        </w:tc>
      </w:tr>
      <w:tr>
        <w:tc>
          <w:tcPr>
            <w:tcW w:type="dxa" w:w="2200"/>
            <w:shd w:fill="FFFFFF" w:color="auto" w:val="clear"/>
            <w:tcMar>
              <w:top w:type="dxa" w:w="60"/>
              <w:left w:type="dxa" w:w="90"/>
              <w:bottom w:type="dxa" w:w="60"/>
              <w:right w:type="dxa" w:w="90"/>
            </w:tcMar>
            <w:vAlign w:val="center"/>
          </w:tcPr>
          <w:p>
            <w:pPr>
              <w:spacing w:after="0" w:line="264"/>
            </w:pPr>
            <w:r>
              <w:rPr>
                <w:b/>
                <w:bCs/>
                <w:sz w:val="19"/>
                <w:szCs w:val="19"/>
              </w:rPr>
              <w:t xml:space="preserve">Rule engine</w:t>
            </w:r>
          </w:p>
        </w:tc>
        <w:tc>
          <w:tcPr>
            <w:tcW w:type="dxa" w:w="3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Risk banding, safety thresholds</w:t>
            </w:r>
          </w:p>
        </w:tc>
        <w:tc>
          <w:tcPr>
            <w:tcW w:type="dxa" w:w="3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Deterministic, auditable, no hallucination on safety</w:t>
            </w:r>
          </w:p>
        </w:tc>
      </w:tr>
      <w:tr>
        <w:tc>
          <w:tcPr>
            <w:tcW w:type="dxa" w:w="2200"/>
            <w:shd w:fill="F4F7FB" w:color="auto" w:val="clear"/>
            <w:tcMar>
              <w:top w:type="dxa" w:w="60"/>
              <w:left w:type="dxa" w:w="90"/>
              <w:bottom w:type="dxa" w:w="60"/>
              <w:right w:type="dxa" w:w="90"/>
            </w:tcMar>
            <w:vAlign w:val="center"/>
          </w:tcPr>
          <w:p>
            <w:pPr>
              <w:spacing w:after="0" w:line="264"/>
            </w:pPr>
            <w:r>
              <w:rPr>
                <w:b/>
                <w:bCs/>
                <w:sz w:val="19"/>
                <w:szCs w:val="19"/>
              </w:rPr>
              <w:t xml:space="preserve">RAG</w:t>
            </w:r>
          </w:p>
        </w:tc>
        <w:tc>
          <w:tcPr>
            <w:tcW w:type="dxa" w:w="3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Grounding recommendations in documents</w:t>
            </w:r>
          </w:p>
        </w:tc>
        <w:tc>
          <w:tcPr>
            <w:tcW w:type="dxa" w:w="3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Trust + citations + auditability</w:t>
            </w:r>
          </w:p>
        </w:tc>
      </w:tr>
      <w:tr>
        <w:tc>
          <w:tcPr>
            <w:tcW w:type="dxa" w:w="2200"/>
            <w:shd w:fill="FFFFFF" w:color="auto" w:val="clear"/>
            <w:tcMar>
              <w:top w:type="dxa" w:w="60"/>
              <w:left w:type="dxa" w:w="90"/>
              <w:bottom w:type="dxa" w:w="60"/>
              <w:right w:type="dxa" w:w="90"/>
            </w:tcMar>
            <w:vAlign w:val="center"/>
          </w:tcPr>
          <w:p>
            <w:pPr>
              <w:spacing w:after="0" w:line="264"/>
            </w:pPr>
            <w:r>
              <w:rPr>
                <w:b/>
                <w:bCs/>
                <w:sz w:val="19"/>
                <w:szCs w:val="19"/>
              </w:rPr>
              <w:t xml:space="preserve">LLM</w:t>
            </w:r>
          </w:p>
        </w:tc>
        <w:tc>
          <w:tcPr>
            <w:tcW w:type="dxa" w:w="3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Diagnosis narrative, recommendation, report</w:t>
            </w:r>
          </w:p>
        </w:tc>
        <w:tc>
          <w:tcPr>
            <w:tcW w:type="dxa" w:w="3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Turns numbers into decisions — Business Impact &amp; UX</w:t>
            </w:r>
          </w:p>
        </w:tc>
      </w:tr>
      <w:tr>
        <w:tc>
          <w:tcPr>
            <w:tcW w:type="dxa" w:w="2200"/>
            <w:shd w:fill="F4F7FB" w:color="auto" w:val="clear"/>
            <w:tcMar>
              <w:top w:type="dxa" w:w="60"/>
              <w:left w:type="dxa" w:w="90"/>
              <w:bottom w:type="dxa" w:w="60"/>
              <w:right w:type="dxa" w:w="90"/>
            </w:tcMar>
            <w:vAlign w:val="center"/>
          </w:tcPr>
          <w:p>
            <w:pPr>
              <w:spacing w:after="0" w:line="264"/>
            </w:pPr>
            <w:r>
              <w:rPr>
                <w:b/>
                <w:bCs/>
                <w:sz w:val="19"/>
                <w:szCs w:val="19"/>
              </w:rPr>
              <w:t xml:space="preserve">Agentic AI</w:t>
            </w:r>
          </w:p>
        </w:tc>
        <w:tc>
          <w:tcPr>
            <w:tcW w:type="dxa" w:w="3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Monitor → Diagnose → Recommend</w:t>
            </w:r>
          </w:p>
        </w:tc>
        <w:tc>
          <w:tcPr>
            <w:tcW w:type="dxa" w:w="3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Modular, demonstrable, clean demo narrative</w:t>
            </w:r>
          </w:p>
        </w:tc>
      </w:tr>
      <w:tr>
        <w:tc>
          <w:tcPr>
            <w:tcW w:type="dxa" w:w="2200"/>
            <w:shd w:fill="FFFFFF" w:color="auto" w:val="clear"/>
            <w:tcMar>
              <w:top w:type="dxa" w:w="60"/>
              <w:left w:type="dxa" w:w="90"/>
              <w:bottom w:type="dxa" w:w="60"/>
              <w:right w:type="dxa" w:w="90"/>
            </w:tcMar>
            <w:vAlign w:val="center"/>
          </w:tcPr>
          <w:p>
            <w:pPr>
              <w:spacing w:after="0" w:line="264"/>
            </w:pPr>
            <w:r>
              <w:rPr>
                <w:b/>
                <w:bCs/>
                <w:sz w:val="19"/>
                <w:szCs w:val="19"/>
              </w:rPr>
              <w:t xml:space="preserve">Knowledge graph</w:t>
            </w:r>
          </w:p>
        </w:tc>
        <w:tc>
          <w:tcPr>
            <w:tcW w:type="dxa" w:w="3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Not used</w:t>
            </w:r>
          </w:p>
        </w:tc>
        <w:tc>
          <w:tcPr>
            <w:tcW w:type="dxa" w:w="3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Adds ontology effort for zero marginal demo value at this scope</w:t>
            </w:r>
          </w:p>
        </w:tc>
      </w:tr>
    </w:tbl>
    <w:p>
      <w:pPr>
        <w:pStyle w:val="Heading1"/>
        <w:spacing w:after="140" w:before="280"/>
      </w:pPr>
      <w:r>
        <w:rPr>
          <w:b/>
          <w:bCs/>
          <w:color w:val="1F3A5F"/>
          <w:sz w:val="30"/>
          <w:szCs w:val="30"/>
        </w:rPr>
        <w:t xml:space="preserve">8. Multi-Agent Design</w:t>
      </w:r>
    </w:p>
    <w:p>
      <w:pPr>
        <w:spacing w:after="120" w:before="0" w:line="276"/>
      </w:pPr>
      <w:r>
        <w:rPr>
          <w:sz w:val="21"/>
          <w:szCs w:val="21"/>
        </w:rPr>
        <w:t xml:space="preserve">Three agents only — minimal and reliable. Each has a single responsibility and passes structured output to the next.</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2300"/>
        <w:gridCol w:w="2300"/>
        <w:gridCol w:w="2326"/>
      </w:tblGrid>
      <w:tr>
        <w:trPr>
          <w:tblHeader/>
        </w:trPr>
        <w:tc>
          <w:tcPr>
            <w:tcW w:type="dxa" w:w="21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Agent</w:t>
            </w:r>
          </w:p>
        </w:tc>
        <w:tc>
          <w:tcPr>
            <w:tcW w:type="dxa" w:w="23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Inputs</w:t>
            </w:r>
          </w:p>
        </w:tc>
        <w:tc>
          <w:tcPr>
            <w:tcW w:type="dxa" w:w="23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Outputs</w:t>
            </w:r>
          </w:p>
        </w:tc>
        <w:tc>
          <w:tcPr>
            <w:tcW w:type="dxa" w:w="23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Passes to</w:t>
            </w:r>
          </w:p>
        </w:tc>
      </w:tr>
      <w:tr>
        <w:tc>
          <w:tcPr>
            <w:tcW w:type="dxa" w:w="2100"/>
            <w:shd w:fill="FFFFFF" w:color="auto" w:val="clear"/>
            <w:tcMar>
              <w:top w:type="dxa" w:w="60"/>
              <w:left w:type="dxa" w:w="90"/>
              <w:bottom w:type="dxa" w:w="60"/>
              <w:right w:type="dxa" w:w="90"/>
            </w:tcMar>
            <w:vAlign w:val="center"/>
          </w:tcPr>
          <w:p>
            <w:pPr>
              <w:spacing w:after="0" w:line="264"/>
            </w:pPr>
            <w:r>
              <w:rPr>
                <w:b/>
                <w:bCs/>
                <w:sz w:val="19"/>
                <w:szCs w:val="19"/>
              </w:rPr>
              <w:t xml:space="preserve">1 · Fleet Health Monitor</w:t>
            </w:r>
          </w:p>
        </w:tc>
        <w:tc>
          <w:tcPr>
            <w:tcW w:type="dxa" w:w="2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Telemetry + ML predictions + rule bands</w:t>
            </w:r>
          </w:p>
        </w:tc>
        <w:tc>
          <w:tcPr>
            <w:tcW w:type="dxa" w:w="2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Ranked list of flagged assets</w:t>
            </w:r>
          </w:p>
        </w:tc>
        <w:tc>
          <w:tcPr>
            <w:tcW w:type="dxa" w:w="23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 Diagnosis Agent</w:t>
            </w:r>
          </w:p>
        </w:tc>
      </w:tr>
      <w:tr>
        <w:tc>
          <w:tcPr>
            <w:tcW w:type="dxa" w:w="2100"/>
            <w:shd w:fill="F4F7FB" w:color="auto" w:val="clear"/>
            <w:tcMar>
              <w:top w:type="dxa" w:w="60"/>
              <w:left w:type="dxa" w:w="90"/>
              <w:bottom w:type="dxa" w:w="60"/>
              <w:right w:type="dxa" w:w="90"/>
            </w:tcMar>
            <w:vAlign w:val="center"/>
          </w:tcPr>
          <w:p>
            <w:pPr>
              <w:spacing w:after="0" w:line="264"/>
            </w:pPr>
            <w:r>
              <w:rPr>
                <w:b/>
                <w:bCs/>
                <w:sz w:val="19"/>
                <w:szCs w:val="19"/>
              </w:rPr>
              <w:t xml:space="preserve">2 · Diagnosis / RCA</w:t>
            </w:r>
          </w:p>
        </w:tc>
        <w:tc>
          <w:tcPr>
            <w:tcW w:type="dxa" w:w="2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Flagged asset + RAG retrieval</w:t>
            </w:r>
          </w:p>
        </w:tc>
        <w:tc>
          <w:tcPr>
            <w:tcW w:type="dxa" w:w="2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Probable cause, severity, citations</w:t>
            </w:r>
          </w:p>
        </w:tc>
        <w:tc>
          <w:tcPr>
            <w:tcW w:type="dxa" w:w="23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 Recommendation Agent</w:t>
            </w:r>
          </w:p>
        </w:tc>
      </w:tr>
      <w:tr>
        <w:tc>
          <w:tcPr>
            <w:tcW w:type="dxa" w:w="2100"/>
            <w:shd w:fill="FFFFFF" w:color="auto" w:val="clear"/>
            <w:tcMar>
              <w:top w:type="dxa" w:w="60"/>
              <w:left w:type="dxa" w:w="90"/>
              <w:bottom w:type="dxa" w:w="60"/>
              <w:right w:type="dxa" w:w="90"/>
            </w:tcMar>
            <w:vAlign w:val="center"/>
          </w:tcPr>
          <w:p>
            <w:pPr>
              <w:spacing w:after="0" w:line="264"/>
            </w:pPr>
            <w:r>
              <w:rPr>
                <w:b/>
                <w:bCs/>
                <w:sz w:val="19"/>
                <w:szCs w:val="19"/>
              </w:rPr>
              <w:t xml:space="preserve">3 · Recommendation</w:t>
            </w:r>
          </w:p>
        </w:tc>
        <w:tc>
          <w:tcPr>
            <w:tcW w:type="dxa" w:w="2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Diagnosis + RUL + context</w:t>
            </w:r>
          </w:p>
        </w:tc>
        <w:tc>
          <w:tcPr>
            <w:tcW w:type="dxa" w:w="2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Cited action + exportable report</w:t>
            </w:r>
          </w:p>
        </w:tc>
        <w:tc>
          <w:tcPr>
            <w:tcW w:type="dxa" w:w="23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 Dashboard</w:t>
            </w:r>
          </w:p>
        </w:tc>
      </w:tr>
    </w:tbl>
    <w:p>
      <w:pPr>
        <w:pStyle w:val="Heading1"/>
        <w:spacing w:after="140" w:before="280"/>
      </w:pPr>
      <w:r>
        <w:rPr>
          <w:b/>
          <w:bCs/>
          <w:color w:val="1F3A5F"/>
          <w:sz w:val="30"/>
          <w:szCs w:val="30"/>
        </w:rPr>
        <w:t xml:space="preserve">9. Data Strategy</w:t>
      </w:r>
    </w:p>
    <w:p>
      <w:pPr>
        <w:spacing w:after="120" w:before="0" w:line="276"/>
      </w:pPr>
      <w:r>
        <w:rPr>
          <w:sz w:val="21"/>
          <w:szCs w:val="21"/>
        </w:rPr>
        <w:t xml:space="preserve">The machine-learning core is trained and validated exclusively on real, public NASA battery-degradation cells — no synthetic data enters the model. Only the fleet 'wrapper' (asset IDs, routes, duty cycles) is illustrative and clearly labelled; it is presentation framing and never feeds a prediction.</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3000"/>
        <w:gridCol w:w="2600"/>
        <w:gridCol w:w="1900"/>
        <w:gridCol w:w="1526"/>
      </w:tblGrid>
      <w:tr>
        <w:trPr>
          <w:tblHeader/>
        </w:trPr>
        <w:tc>
          <w:tcPr>
            <w:tcW w:type="dxa" w:w="30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Dataset</w:t>
            </w:r>
          </w:p>
        </w:tc>
        <w:tc>
          <w:tcPr>
            <w:tcW w:type="dxa" w:w="26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Purpose</w:t>
            </w:r>
          </w:p>
        </w:tc>
        <w:tc>
          <w:tcPr>
            <w:tcW w:type="dxa" w:w="19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Status</w:t>
            </w:r>
          </w:p>
        </w:tc>
        <w:tc>
          <w:tcPr>
            <w:tcW w:type="dxa" w:w="15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Difficulty</w:t>
            </w:r>
          </w:p>
        </w:tc>
      </w:tr>
      <w:tr>
        <w:tc>
          <w:tcPr>
            <w:tcW w:type="dxa" w:w="3000"/>
            <w:shd w:fill="FFFFFF" w:color="auto" w:val="clear"/>
            <w:tcMar>
              <w:top w:type="dxa" w:w="60"/>
              <w:left w:type="dxa" w:w="90"/>
              <w:bottom w:type="dxa" w:w="60"/>
              <w:right w:type="dxa" w:w="90"/>
            </w:tcMar>
            <w:vAlign w:val="center"/>
          </w:tcPr>
          <w:p>
            <w:pPr>
              <w:spacing w:after="0" w:line="264"/>
            </w:pPr>
            <w:r>
              <w:rPr>
                <w:b/>
                <w:bCs/>
                <w:sz w:val="19"/>
                <w:szCs w:val="19"/>
              </w:rPr>
              <w:t xml:space="preserve">NASA PCoE Li-ion Aging (34 real cells)</w:t>
            </w:r>
          </w:p>
        </w:tc>
        <w:tc>
          <w:tcPr>
            <w:tcW w:type="dxa" w:w="2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Train / validate SoH + RUL</w:t>
            </w:r>
          </w:p>
        </w:tc>
        <w:tc>
          <w:tcPr>
            <w:tcW w:type="dxa" w:w="19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Downloaded &amp; in use</w:t>
            </w:r>
          </w:p>
        </w:tc>
        <w:tc>
          <w:tcPr>
            <w:tcW w:type="dxa" w:w="1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Easy</w:t>
            </w:r>
          </w:p>
        </w:tc>
      </w:tr>
      <w:tr>
        <w:tc>
          <w:tcPr>
            <w:tcW w:type="dxa" w:w="3000"/>
            <w:shd w:fill="F4F7FB" w:color="auto" w:val="clear"/>
            <w:tcMar>
              <w:top w:type="dxa" w:w="60"/>
              <w:left w:type="dxa" w:w="90"/>
              <w:bottom w:type="dxa" w:w="60"/>
              <w:right w:type="dxa" w:w="90"/>
            </w:tcMar>
            <w:vAlign w:val="center"/>
          </w:tcPr>
          <w:p>
            <w:pPr>
              <w:spacing w:after="0" w:line="264"/>
            </w:pPr>
            <w:r>
              <w:rPr>
                <w:b/>
                <w:bCs/>
                <w:sz w:val="19"/>
                <w:szCs w:val="19"/>
              </w:rPr>
              <w:t xml:space="preserve">→ core cells B0005 / B0006 / B0007 / B0018</w:t>
            </w:r>
          </w:p>
        </w:tc>
        <w:tc>
          <w:tcPr>
            <w:tcW w:type="dxa" w:w="26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P1 headline metric</w:t>
            </w:r>
          </w:p>
        </w:tc>
        <w:tc>
          <w:tcPr>
            <w:tcW w:type="dxa" w:w="19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In use</w:t>
            </w:r>
          </w:p>
        </w:tc>
        <w:tc>
          <w:tcPr>
            <w:tcW w:type="dxa" w:w="1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Easy</w:t>
            </w:r>
          </w:p>
        </w:tc>
      </w:tr>
      <w:tr>
        <w:tc>
          <w:tcPr>
            <w:tcW w:type="dxa" w:w="3000"/>
            <w:shd w:fill="FFFFFF" w:color="auto" w:val="clear"/>
            <w:tcMar>
              <w:top w:type="dxa" w:w="60"/>
              <w:left w:type="dxa" w:w="90"/>
              <w:bottom w:type="dxa" w:w="60"/>
              <w:right w:type="dxa" w:w="90"/>
            </w:tcMar>
            <w:vAlign w:val="center"/>
          </w:tcPr>
          <w:p>
            <w:pPr>
              <w:spacing w:after="0" w:line="264"/>
            </w:pPr>
            <w:r>
              <w:rPr>
                <w:b/>
                <w:bCs/>
                <w:sz w:val="19"/>
                <w:szCs w:val="19"/>
              </w:rPr>
              <w:t xml:space="preserve">Oxford Battery Degradation</w:t>
            </w:r>
          </w:p>
        </w:tc>
        <w:tc>
          <w:tcPr>
            <w:tcW w:type="dxa" w:w="2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Cross-dataset validation</w:t>
            </w:r>
          </w:p>
        </w:tc>
        <w:tc>
          <w:tcPr>
            <w:tcW w:type="dxa" w:w="19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Optional / planned</w:t>
            </w:r>
          </w:p>
        </w:tc>
        <w:tc>
          <w:tcPr>
            <w:tcW w:type="dxa" w:w="1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Easy</w:t>
            </w:r>
          </w:p>
        </w:tc>
      </w:tr>
      <w:tr>
        <w:tc>
          <w:tcPr>
            <w:tcW w:type="dxa" w:w="3000"/>
            <w:shd w:fill="F4F7FB" w:color="auto" w:val="clear"/>
            <w:tcMar>
              <w:top w:type="dxa" w:w="60"/>
              <w:left w:type="dxa" w:w="90"/>
              <w:bottom w:type="dxa" w:w="60"/>
              <w:right w:type="dxa" w:w="90"/>
            </w:tcMar>
            <w:vAlign w:val="center"/>
          </w:tcPr>
          <w:p>
            <w:pPr>
              <w:spacing w:after="0" w:line="264"/>
            </w:pPr>
            <w:r>
              <w:rPr>
                <w:b/>
                <w:bCs/>
                <w:sz w:val="19"/>
                <w:szCs w:val="19"/>
              </w:rPr>
              <w:t xml:space="preserve">MIT–Stanford (TRI) cycle-life</w:t>
            </w:r>
          </w:p>
        </w:tc>
        <w:tc>
          <w:tcPr>
            <w:tcW w:type="dxa" w:w="26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Larger RUL benchmark</w:t>
            </w:r>
          </w:p>
        </w:tc>
        <w:tc>
          <w:tcPr>
            <w:tcW w:type="dxa" w:w="19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Optional / planned</w:t>
            </w:r>
          </w:p>
        </w:tc>
        <w:tc>
          <w:tcPr>
            <w:tcW w:type="dxa" w:w="1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Easy–Med</w:t>
            </w:r>
          </w:p>
        </w:tc>
      </w:tr>
      <w:tr>
        <w:tc>
          <w:tcPr>
            <w:tcW w:type="dxa" w:w="3000"/>
            <w:shd w:fill="FFFFFF" w:color="auto" w:val="clear"/>
            <w:tcMar>
              <w:top w:type="dxa" w:w="60"/>
              <w:left w:type="dxa" w:w="90"/>
              <w:bottom w:type="dxa" w:w="60"/>
              <w:right w:type="dxa" w:w="90"/>
            </w:tcMar>
            <w:vAlign w:val="center"/>
          </w:tcPr>
          <w:p>
            <w:pPr>
              <w:spacing w:after="0" w:line="264"/>
            </w:pPr>
            <w:r>
              <w:rPr>
                <w:b/>
                <w:bCs/>
                <w:sz w:val="19"/>
                <w:szCs w:val="19"/>
              </w:rPr>
              <w:t xml:space="preserve">OEM manuals / safety standards</w:t>
            </w:r>
          </w:p>
        </w:tc>
        <w:tc>
          <w:tcPr>
            <w:tcW w:type="dxa" w:w="2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RAG grounding corpus (P3)</w:t>
            </w:r>
          </w:p>
        </w:tc>
        <w:tc>
          <w:tcPr>
            <w:tcW w:type="dxa" w:w="19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Public PDFs — planned</w:t>
            </w:r>
          </w:p>
        </w:tc>
        <w:tc>
          <w:tcPr>
            <w:tcW w:type="dxa" w:w="1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Medium</w:t>
            </w:r>
          </w:p>
        </w:tc>
      </w:tr>
      <w:tr>
        <w:tc>
          <w:tcPr>
            <w:tcW w:type="dxa" w:w="3000"/>
            <w:shd w:fill="F4F7FB" w:color="auto" w:val="clear"/>
            <w:tcMar>
              <w:top w:type="dxa" w:w="60"/>
              <w:left w:type="dxa" w:w="90"/>
              <w:bottom w:type="dxa" w:w="60"/>
              <w:right w:type="dxa" w:w="90"/>
            </w:tcMar>
            <w:vAlign w:val="center"/>
          </w:tcPr>
          <w:p>
            <w:pPr>
              <w:spacing w:after="0" w:line="264"/>
            </w:pPr>
            <w:r>
              <w:rPr>
                <w:b/>
                <w:bCs/>
                <w:sz w:val="19"/>
                <w:szCs w:val="19"/>
              </w:rPr>
              <w:t xml:space="preserve">Fleet metadata (IDs, routes)</w:t>
            </w:r>
          </w:p>
        </w:tc>
        <w:tc>
          <w:tcPr>
            <w:tcW w:type="dxa" w:w="26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Illustrative framing — not in model</w:t>
            </w:r>
          </w:p>
        </w:tc>
        <w:tc>
          <w:tcPr>
            <w:tcW w:type="dxa" w:w="19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Synthesised, labelled</w:t>
            </w:r>
          </w:p>
        </w:tc>
        <w:tc>
          <w:tcPr>
            <w:tcW w:type="dxa" w:w="1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Easy</w:t>
            </w:r>
          </w:p>
        </w:tc>
      </w:tr>
    </w:tbl>
    <w:p>
      <w:pPr>
        <w:spacing w:after="120" w:line="276"/>
      </w:pPr>
      <w:r>
        <w:rPr>
          <w:b/>
          <w:bCs/>
          <w:color w:val="1F3A5F"/>
          <w:sz w:val="20"/>
          <w:szCs w:val="20"/>
        </w:rPr>
        <w:t xml:space="preserve">Primary dataset: </w:t>
      </w:r>
      <w:r>
        <w:rPr>
          <w:i/>
          <w:iCs/>
          <w:sz w:val="20"/>
          <w:szCs w:val="20"/>
        </w:rPr>
        <w:t xml:space="preserve">NASA Prognostics Center of Excellence Li-ion Battery Aging Dataset — 34 real 18650 cells cycled to end-of-life; the four room-temperature cells (B0005, B0006, B0007, B0018) form the standard SoH/RUL benchmark used for our headline result.</w:t>
      </w:r>
    </w:p>
    <w:p>
      <w:pPr>
        <w:spacing w:after="120" w:line="276"/>
      </w:pPr>
      <w:r>
        <w:rPr>
          <w:b/>
          <w:bCs/>
          <w:color w:val="1F3A5F"/>
          <w:sz w:val="20"/>
          <w:szCs w:val="20"/>
        </w:rPr>
        <w:t xml:space="preserve">Integrity note for judges: </w:t>
      </w:r>
      <w:r>
        <w:rPr>
          <w:i/>
          <w:iCs/>
          <w:sz w:val="20"/>
          <w:szCs w:val="20"/>
        </w:rPr>
        <w:t xml:space="preserve">all predictions run on real cell data (defensible error metrics); only the fleet wrapper is illustrative, and we state this openly.</w:t>
      </w:r>
    </w:p>
    <w:p>
      <w:pPr>
        <w:pStyle w:val="Heading1"/>
        <w:spacing w:after="140" w:before="280"/>
      </w:pPr>
      <w:r>
        <w:rPr>
          <w:b/>
          <w:bCs/>
          <w:color w:val="1F3A5F"/>
          <w:sz w:val="30"/>
          <w:szCs w:val="30"/>
        </w:rPr>
        <w:t xml:space="preserve">10. Technology Stack</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2400"/>
        <w:gridCol w:w="3200"/>
        <w:gridCol w:w="3426"/>
      </w:tblGrid>
      <w:tr>
        <w:trPr>
          <w:tblHeader/>
        </w:trPr>
        <w:tc>
          <w:tcPr>
            <w:tcW w:type="dxa" w:w="24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Layer</w:t>
            </w:r>
          </w:p>
        </w:tc>
        <w:tc>
          <w:tcPr>
            <w:tcW w:type="dxa" w:w="32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Choice</w:t>
            </w:r>
          </w:p>
        </w:tc>
        <w:tc>
          <w:tcPr>
            <w:tcW w:type="dxa" w:w="34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Why</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Frontend</w:t>
            </w:r>
          </w:p>
        </w:tc>
        <w:tc>
          <w:tcPr>
            <w:tcW w:type="dxa" w:w="32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React + Vite + Tailwind + Recharts</w:t>
            </w:r>
          </w:p>
        </w:tc>
        <w:tc>
          <w:tcPr>
            <w:tcW w:type="dxa" w:w="3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Fast scaffold, strong charts</w:t>
            </w:r>
          </w:p>
        </w:tc>
      </w:tr>
      <w:tr>
        <w:tc>
          <w:tcPr>
            <w:tcW w:type="dxa" w:w="2400"/>
            <w:shd w:fill="F4F7FB" w:color="auto" w:val="clear"/>
            <w:tcMar>
              <w:top w:type="dxa" w:w="60"/>
              <w:left w:type="dxa" w:w="90"/>
              <w:bottom w:type="dxa" w:w="60"/>
              <w:right w:type="dxa" w:w="90"/>
            </w:tcMar>
            <w:vAlign w:val="center"/>
          </w:tcPr>
          <w:p>
            <w:pPr>
              <w:spacing w:after="0" w:line="264"/>
            </w:pPr>
            <w:r>
              <w:rPr>
                <w:b/>
                <w:bCs/>
                <w:sz w:val="19"/>
                <w:szCs w:val="19"/>
              </w:rPr>
              <w:t xml:space="preserve">Backend</w:t>
            </w:r>
          </w:p>
        </w:tc>
        <w:tc>
          <w:tcPr>
            <w:tcW w:type="dxa" w:w="32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FastAPI (Python) + Uvicorn</w:t>
            </w:r>
          </w:p>
        </w:tc>
        <w:tc>
          <w:tcPr>
            <w:tcW w:type="dxa" w:w="34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Same language as ML; rapid REST</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Database</w:t>
            </w:r>
          </w:p>
        </w:tc>
        <w:tc>
          <w:tcPr>
            <w:tcW w:type="dxa" w:w="32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SQLite (Postgres if hosted)</w:t>
            </w:r>
          </w:p>
        </w:tc>
        <w:tc>
          <w:tcPr>
            <w:tcW w:type="dxa" w:w="3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Zero-config, file-based</w:t>
            </w:r>
          </w:p>
        </w:tc>
      </w:tr>
      <w:tr>
        <w:tc>
          <w:tcPr>
            <w:tcW w:type="dxa" w:w="2400"/>
            <w:shd w:fill="F4F7FB" w:color="auto" w:val="clear"/>
            <w:tcMar>
              <w:top w:type="dxa" w:w="60"/>
              <w:left w:type="dxa" w:w="90"/>
              <w:bottom w:type="dxa" w:w="60"/>
              <w:right w:type="dxa" w:w="90"/>
            </w:tcMar>
            <w:vAlign w:val="center"/>
          </w:tcPr>
          <w:p>
            <w:pPr>
              <w:spacing w:after="0" w:line="264"/>
            </w:pPr>
            <w:r>
              <w:rPr>
                <w:b/>
                <w:bCs/>
                <w:sz w:val="19"/>
                <w:szCs w:val="19"/>
              </w:rPr>
              <w:t xml:space="preserve">Vector DB</w:t>
            </w:r>
          </w:p>
        </w:tc>
        <w:tc>
          <w:tcPr>
            <w:tcW w:type="dxa" w:w="32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ChromaDB</w:t>
            </w:r>
          </w:p>
        </w:tc>
        <w:tc>
          <w:tcPr>
            <w:tcW w:type="dxa" w:w="34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Local, free, trivial retrieval</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ML</w:t>
            </w:r>
          </w:p>
        </w:tc>
        <w:tc>
          <w:tcPr>
            <w:tcW w:type="dxa" w:w="32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scikit-learn + XGBoost</w:t>
            </w:r>
          </w:p>
        </w:tc>
        <w:tc>
          <w:tcPr>
            <w:tcW w:type="dxa" w:w="3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Reliable, fast, provable</w:t>
            </w:r>
          </w:p>
        </w:tc>
      </w:tr>
      <w:tr>
        <w:tc>
          <w:tcPr>
            <w:tcW w:type="dxa" w:w="2400"/>
            <w:shd w:fill="F4F7FB" w:color="auto" w:val="clear"/>
            <w:tcMar>
              <w:top w:type="dxa" w:w="60"/>
              <w:left w:type="dxa" w:w="90"/>
              <w:bottom w:type="dxa" w:w="60"/>
              <w:right w:type="dxa" w:w="90"/>
            </w:tcMar>
            <w:vAlign w:val="center"/>
          </w:tcPr>
          <w:p>
            <w:pPr>
              <w:spacing w:after="0" w:line="264"/>
            </w:pPr>
            <w:r>
              <w:rPr>
                <w:b/>
                <w:bCs/>
                <w:sz w:val="19"/>
                <w:szCs w:val="19"/>
              </w:rPr>
              <w:t xml:space="preserve">LLM</w:t>
            </w:r>
          </w:p>
        </w:tc>
        <w:tc>
          <w:tcPr>
            <w:tcW w:type="dxa" w:w="32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Groq free tier / Ollama (local)</w:t>
            </w:r>
          </w:p>
        </w:tc>
        <w:tc>
          <w:tcPr>
            <w:tcW w:type="dxa" w:w="34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Zero cost; no GPU needed</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Embeddings</w:t>
            </w:r>
          </w:p>
        </w:tc>
        <w:tc>
          <w:tcPr>
            <w:tcW w:type="dxa" w:w="32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sentence-transformers (MiniLM)</w:t>
            </w:r>
          </w:p>
        </w:tc>
        <w:tc>
          <w:tcPr>
            <w:tcW w:type="dxa" w:w="3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Local, free</w:t>
            </w:r>
          </w:p>
        </w:tc>
      </w:tr>
      <w:tr>
        <w:tc>
          <w:tcPr>
            <w:tcW w:type="dxa" w:w="2400"/>
            <w:shd w:fill="F4F7FB" w:color="auto" w:val="clear"/>
            <w:tcMar>
              <w:top w:type="dxa" w:w="60"/>
              <w:left w:type="dxa" w:w="90"/>
              <w:bottom w:type="dxa" w:w="60"/>
              <w:right w:type="dxa" w:w="90"/>
            </w:tcMar>
            <w:vAlign w:val="center"/>
          </w:tcPr>
          <w:p>
            <w:pPr>
              <w:spacing w:after="0" w:line="264"/>
            </w:pPr>
            <w:r>
              <w:rPr>
                <w:b/>
                <w:bCs/>
                <w:sz w:val="19"/>
                <w:szCs w:val="19"/>
              </w:rPr>
              <w:t xml:space="preserve">Visualisation</w:t>
            </w:r>
          </w:p>
        </w:tc>
        <w:tc>
          <w:tcPr>
            <w:tcW w:type="dxa" w:w="32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Recharts / Plotly</w:t>
            </w:r>
          </w:p>
        </w:tc>
        <w:tc>
          <w:tcPr>
            <w:tcW w:type="dxa" w:w="34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Degradation curves, gauges</w:t>
            </w:r>
          </w:p>
        </w:tc>
      </w:tr>
      <w:tr>
        <w:tc>
          <w:tcPr>
            <w:tcW w:type="dxa" w:w="2400"/>
            <w:shd w:fill="FFFFFF" w:color="auto" w:val="clear"/>
            <w:tcMar>
              <w:top w:type="dxa" w:w="60"/>
              <w:left w:type="dxa" w:w="90"/>
              <w:bottom w:type="dxa" w:w="60"/>
              <w:right w:type="dxa" w:w="90"/>
            </w:tcMar>
            <w:vAlign w:val="center"/>
          </w:tcPr>
          <w:p>
            <w:pPr>
              <w:spacing w:after="0" w:line="264"/>
            </w:pPr>
            <w:r>
              <w:rPr>
                <w:b/>
                <w:bCs/>
                <w:sz w:val="19"/>
                <w:szCs w:val="19"/>
              </w:rPr>
              <w:t xml:space="preserve">Deployment</w:t>
            </w:r>
          </w:p>
        </w:tc>
        <w:tc>
          <w:tcPr>
            <w:tcW w:type="dxa" w:w="32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Localhost + ngrok / HF Spaces</w:t>
            </w:r>
          </w:p>
        </w:tc>
        <w:tc>
          <w:tcPr>
            <w:tcW w:type="dxa" w:w="3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Zero cost, demo-reliable</w:t>
            </w:r>
          </w:p>
        </w:tc>
      </w:tr>
    </w:tbl>
    <w:p>
      <w:pPr>
        <w:spacing w:after="120" w:before="0" w:line="276"/>
      </w:pPr>
      <w:r>
        <w:rPr>
          <w:i/>
          <w:iCs/>
          <w:sz w:val="21"/>
          <w:szCs w:val="21"/>
        </w:rPr>
        <w:t xml:space="preserve">Deliberately avoided: paid APIs, streaming infrastructure, Kubernetes, real auth providers, graph databases — none add judging value at this scope.</w:t>
      </w:r>
    </w:p>
    <w:p>
      <w:pPr>
        <w:pStyle w:val="Heading1"/>
        <w:spacing w:after="140" w:before="280"/>
      </w:pPr>
      <w:r>
        <w:rPr>
          <w:b/>
          <w:bCs/>
          <w:color w:val="1F3A5F"/>
          <w:sz w:val="30"/>
          <w:szCs w:val="30"/>
        </w:rPr>
        <w:t xml:space="preserve">11. Development Roadmap</w:t>
      </w:r>
    </w:p>
    <w:p>
      <w:pPr>
        <w:spacing w:after="120" w:before="0" w:line="276"/>
      </w:pPr>
      <w:r>
        <w:rPr>
          <w:sz w:val="21"/>
          <w:szCs w:val="21"/>
        </w:rPr>
        <w:t xml:space="preserve">Phased for a multi-day build; the good-to-haves are gated behind a green core.</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1500"/>
        <w:gridCol w:w="3600"/>
        <w:gridCol w:w="2400"/>
        <w:gridCol w:w="1526"/>
      </w:tblGrid>
      <w:tr>
        <w:trPr>
          <w:tblHeader/>
        </w:trPr>
        <w:tc>
          <w:tcPr>
            <w:tcW w:type="dxa" w:w="15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Phase</w:t>
            </w:r>
          </w:p>
        </w:tc>
        <w:tc>
          <w:tcPr>
            <w:tcW w:type="dxa" w:w="36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Objective</w:t>
            </w:r>
          </w:p>
        </w:tc>
        <w:tc>
          <w:tcPr>
            <w:tcW w:type="dxa" w:w="24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Output</w:t>
            </w:r>
          </w:p>
        </w:tc>
        <w:tc>
          <w:tcPr>
            <w:tcW w:type="dxa" w:w="15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Time</w:t>
            </w:r>
          </w:p>
        </w:tc>
      </w:tr>
      <w:tr>
        <w:tc>
          <w:tcPr>
            <w:tcW w:type="dxa" w:w="1500"/>
            <w:shd w:fill="FFFFFF" w:color="auto" w:val="clear"/>
            <w:tcMar>
              <w:top w:type="dxa" w:w="60"/>
              <w:left w:type="dxa" w:w="90"/>
              <w:bottom w:type="dxa" w:w="60"/>
              <w:right w:type="dxa" w:w="90"/>
            </w:tcMar>
            <w:vAlign w:val="center"/>
          </w:tcPr>
          <w:p>
            <w:pPr>
              <w:spacing w:after="0" w:line="264"/>
            </w:pPr>
            <w:r>
              <w:rPr>
                <w:b/>
                <w:bCs/>
                <w:sz w:val="19"/>
                <w:szCs w:val="19"/>
              </w:rPr>
              <w:t xml:space="preserve">P0 Setup</w:t>
            </w:r>
          </w:p>
        </w:tc>
        <w:tc>
          <w:tcPr>
            <w:tcW w:type="dxa" w:w="3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Repo, envs, data download</w:t>
            </w:r>
          </w:p>
        </w:tc>
        <w:tc>
          <w:tcPr>
            <w:tcW w:type="dxa" w:w="24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Running skeleton</w:t>
            </w:r>
          </w:p>
        </w:tc>
        <w:tc>
          <w:tcPr>
            <w:tcW w:type="dxa" w:w="1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0.5 day</w:t>
            </w:r>
          </w:p>
        </w:tc>
      </w:tr>
      <w:tr>
        <w:tc>
          <w:tcPr>
            <w:tcW w:type="dxa" w:w="1500"/>
            <w:shd w:fill="F4F7FB" w:color="auto" w:val="clear"/>
            <w:tcMar>
              <w:top w:type="dxa" w:w="60"/>
              <w:left w:type="dxa" w:w="90"/>
              <w:bottom w:type="dxa" w:w="60"/>
              <w:right w:type="dxa" w:w="90"/>
            </w:tcMar>
            <w:vAlign w:val="center"/>
          </w:tcPr>
          <w:p>
            <w:pPr>
              <w:spacing w:after="0" w:line="264"/>
            </w:pPr>
            <w:r>
              <w:rPr>
                <w:b/>
                <w:bCs/>
                <w:sz w:val="19"/>
                <w:szCs w:val="19"/>
              </w:rPr>
              <w:t xml:space="preserve">P1 ML Core</w:t>
            </w:r>
          </w:p>
        </w:tc>
        <w:tc>
          <w:tcPr>
            <w:tcW w:type="dxa" w:w="36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Provable SoH + RUL</w:t>
            </w:r>
          </w:p>
        </w:tc>
        <w:tc>
          <w:tcPr>
            <w:tcW w:type="dxa" w:w="24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Model + RMSE metric</w:t>
            </w:r>
          </w:p>
        </w:tc>
        <w:tc>
          <w:tcPr>
            <w:tcW w:type="dxa" w:w="1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1.5 days</w:t>
            </w:r>
          </w:p>
        </w:tc>
      </w:tr>
      <w:tr>
        <w:tc>
          <w:tcPr>
            <w:tcW w:type="dxa" w:w="1500"/>
            <w:shd w:fill="FFFFFF" w:color="auto" w:val="clear"/>
            <w:tcMar>
              <w:top w:type="dxa" w:w="60"/>
              <w:left w:type="dxa" w:w="90"/>
              <w:bottom w:type="dxa" w:w="60"/>
              <w:right w:type="dxa" w:w="90"/>
            </w:tcMar>
            <w:vAlign w:val="center"/>
          </w:tcPr>
          <w:p>
            <w:pPr>
              <w:spacing w:after="0" w:line="264"/>
            </w:pPr>
            <w:r>
              <w:rPr>
                <w:b/>
                <w:bCs/>
                <w:sz w:val="19"/>
                <w:szCs w:val="19"/>
              </w:rPr>
              <w:t xml:space="preserve">P2 Backend + DB</w:t>
            </w:r>
          </w:p>
        </w:tc>
        <w:tc>
          <w:tcPr>
            <w:tcW w:type="dxa" w:w="3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Serve predictions</w:t>
            </w:r>
          </w:p>
        </w:tc>
        <w:tc>
          <w:tcPr>
            <w:tcW w:type="dxa" w:w="24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Live prediction API</w:t>
            </w:r>
          </w:p>
        </w:tc>
        <w:tc>
          <w:tcPr>
            <w:tcW w:type="dxa" w:w="1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1 day</w:t>
            </w:r>
          </w:p>
        </w:tc>
      </w:tr>
      <w:tr>
        <w:tc>
          <w:tcPr>
            <w:tcW w:type="dxa" w:w="1500"/>
            <w:shd w:fill="F4F7FB" w:color="auto" w:val="clear"/>
            <w:tcMar>
              <w:top w:type="dxa" w:w="60"/>
              <w:left w:type="dxa" w:w="90"/>
              <w:bottom w:type="dxa" w:w="60"/>
              <w:right w:type="dxa" w:w="90"/>
            </w:tcMar>
            <w:vAlign w:val="center"/>
          </w:tcPr>
          <w:p>
            <w:pPr>
              <w:spacing w:after="0" w:line="264"/>
            </w:pPr>
            <w:r>
              <w:rPr>
                <w:b/>
                <w:bCs/>
                <w:sz w:val="19"/>
                <w:szCs w:val="19"/>
              </w:rPr>
              <w:t xml:space="preserve">P3 RAG + Agents</w:t>
            </w:r>
          </w:p>
        </w:tc>
        <w:tc>
          <w:tcPr>
            <w:tcW w:type="dxa" w:w="36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Grounded recommendation</w:t>
            </w:r>
          </w:p>
        </w:tc>
        <w:tc>
          <w:tcPr>
            <w:tcW w:type="dxa" w:w="24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Cited output</w:t>
            </w:r>
          </w:p>
        </w:tc>
        <w:tc>
          <w:tcPr>
            <w:tcW w:type="dxa" w:w="1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1.5 days</w:t>
            </w:r>
          </w:p>
        </w:tc>
      </w:tr>
      <w:tr>
        <w:tc>
          <w:tcPr>
            <w:tcW w:type="dxa" w:w="1500"/>
            <w:shd w:fill="FFFFFF" w:color="auto" w:val="clear"/>
            <w:tcMar>
              <w:top w:type="dxa" w:w="60"/>
              <w:left w:type="dxa" w:w="90"/>
              <w:bottom w:type="dxa" w:w="60"/>
              <w:right w:type="dxa" w:w="90"/>
            </w:tcMar>
            <w:vAlign w:val="center"/>
          </w:tcPr>
          <w:p>
            <w:pPr>
              <w:spacing w:after="0" w:line="264"/>
            </w:pPr>
            <w:r>
              <w:rPr>
                <w:b/>
                <w:bCs/>
                <w:sz w:val="19"/>
                <w:szCs w:val="19"/>
              </w:rPr>
              <w:t xml:space="preserve">P4 Frontend</w:t>
            </w:r>
          </w:p>
        </w:tc>
        <w:tc>
          <w:tcPr>
            <w:tcW w:type="dxa" w:w="3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Decision surface</w:t>
            </w:r>
          </w:p>
        </w:tc>
        <w:tc>
          <w:tcPr>
            <w:tcW w:type="dxa" w:w="24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Working dashboard</w:t>
            </w:r>
          </w:p>
        </w:tc>
        <w:tc>
          <w:tcPr>
            <w:tcW w:type="dxa" w:w="1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1.5 days</w:t>
            </w:r>
          </w:p>
        </w:tc>
      </w:tr>
      <w:tr>
        <w:tc>
          <w:tcPr>
            <w:tcW w:type="dxa" w:w="1500"/>
            <w:shd w:fill="F4F7FB" w:color="auto" w:val="clear"/>
            <w:tcMar>
              <w:top w:type="dxa" w:w="60"/>
              <w:left w:type="dxa" w:w="90"/>
              <w:bottom w:type="dxa" w:w="60"/>
              <w:right w:type="dxa" w:w="90"/>
            </w:tcMar>
            <w:vAlign w:val="center"/>
          </w:tcPr>
          <w:p>
            <w:pPr>
              <w:spacing w:after="0" w:line="264"/>
            </w:pPr>
            <w:r>
              <w:rPr>
                <w:b/>
                <w:bCs/>
                <w:sz w:val="19"/>
                <w:szCs w:val="19"/>
              </w:rPr>
              <w:t xml:space="preserve">P5 Integration</w:t>
            </w:r>
          </w:p>
        </w:tc>
        <w:tc>
          <w:tcPr>
            <w:tcW w:type="dxa" w:w="36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End-to-end wiring</w:t>
            </w:r>
          </w:p>
        </w:tc>
        <w:tc>
          <w:tcPr>
            <w:tcW w:type="dxa" w:w="24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Full flow works</w:t>
            </w:r>
          </w:p>
        </w:tc>
        <w:tc>
          <w:tcPr>
            <w:tcW w:type="dxa" w:w="15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0.5 day</w:t>
            </w:r>
          </w:p>
        </w:tc>
      </w:tr>
      <w:tr>
        <w:tc>
          <w:tcPr>
            <w:tcW w:type="dxa" w:w="1500"/>
            <w:shd w:fill="FFFFFF" w:color="auto" w:val="clear"/>
            <w:tcMar>
              <w:top w:type="dxa" w:w="60"/>
              <w:left w:type="dxa" w:w="90"/>
              <w:bottom w:type="dxa" w:w="60"/>
              <w:right w:type="dxa" w:w="90"/>
            </w:tcMar>
            <w:vAlign w:val="center"/>
          </w:tcPr>
          <w:p>
            <w:pPr>
              <w:spacing w:after="0" w:line="264"/>
            </w:pPr>
            <w:r>
              <w:rPr>
                <w:b/>
                <w:bCs/>
                <w:sz w:val="19"/>
                <w:szCs w:val="19"/>
              </w:rPr>
              <w:t xml:space="preserve">P6 Demo Polish</w:t>
            </w:r>
          </w:p>
        </w:tc>
        <w:tc>
          <w:tcPr>
            <w:tcW w:type="dxa" w:w="3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Script, rehearse, deck, video</w:t>
            </w:r>
          </w:p>
        </w:tc>
        <w:tc>
          <w:tcPr>
            <w:tcW w:type="dxa" w:w="24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Deliverables ready</w:t>
            </w:r>
          </w:p>
        </w:tc>
        <w:tc>
          <w:tcPr>
            <w:tcW w:type="dxa" w:w="15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1 day</w:t>
            </w:r>
          </w:p>
        </w:tc>
      </w:tr>
    </w:tbl>
    <w:p>
      <w:pPr>
        <w:spacing w:after="120" w:before="0" w:line="276"/>
      </w:pPr>
      <w:r>
        <w:rPr>
          <w:sz w:val="21"/>
          <w:szCs w:val="21"/>
        </w:rPr>
        <w:t xml:space="preserve">Critical path: P1 → P2 → P3 → P5 → P6. The frontend (P4) is built against mock data in parallel so it is ready when real endpoints land.</w:t>
      </w:r>
    </w:p>
    <w:p>
      <w:pPr>
        <w:pStyle w:val="Heading1"/>
        <w:spacing w:after="140" w:before="280"/>
      </w:pPr>
      <w:r>
        <w:rPr>
          <w:b/>
          <w:bCs/>
          <w:color w:val="1F3A5F"/>
          <w:sz w:val="30"/>
          <w:szCs w:val="30"/>
        </w:rPr>
        <w:t xml:space="preserve">12. Risk Analysis &amp; Mitigation</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1900"/>
        <w:gridCol w:w="3300"/>
        <w:gridCol w:w="3826"/>
      </w:tblGrid>
      <w:tr>
        <w:trPr>
          <w:tblHeader/>
        </w:trPr>
        <w:tc>
          <w:tcPr>
            <w:tcW w:type="dxa" w:w="19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Risk</w:t>
            </w:r>
          </w:p>
        </w:tc>
        <w:tc>
          <w:tcPr>
            <w:tcW w:type="dxa" w:w="33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Type</w:t>
            </w:r>
          </w:p>
        </w:tc>
        <w:tc>
          <w:tcPr>
            <w:tcW w:type="dxa" w:w="38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Mitigation</w:t>
            </w:r>
          </w:p>
        </w:tc>
      </w:tr>
      <w:tr>
        <w:tc>
          <w:tcPr>
            <w:tcW w:type="dxa" w:w="1900"/>
            <w:shd w:fill="FFFFFF" w:color="auto" w:val="clear"/>
            <w:tcMar>
              <w:top w:type="dxa" w:w="60"/>
              <w:left w:type="dxa" w:w="90"/>
              <w:bottom w:type="dxa" w:w="60"/>
              <w:right w:type="dxa" w:w="90"/>
            </w:tcMar>
            <w:vAlign w:val="center"/>
          </w:tcPr>
          <w:p>
            <w:pPr>
              <w:spacing w:after="0" w:line="264"/>
            </w:pPr>
            <w:r>
              <w:rPr>
                <w:b/>
                <w:bCs/>
                <w:sz w:val="19"/>
                <w:szCs w:val="19"/>
              </w:rPr>
              <w:t xml:space="preserve">Weak model accuracy</w:t>
            </w:r>
          </w:p>
        </w:tc>
        <w:tc>
          <w:tcPr>
            <w:tcW w:type="dxa" w:w="3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Model</w:t>
            </w:r>
          </w:p>
        </w:tc>
        <w:tc>
          <w:tcPr>
            <w:tcW w:type="dxa" w:w="38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XGBoost baseline day 1; validate on Oxford; report gain vs. naive baseline</w:t>
            </w:r>
          </w:p>
        </w:tc>
      </w:tr>
      <w:tr>
        <w:tc>
          <w:tcPr>
            <w:tcW w:type="dxa" w:w="1900"/>
            <w:shd w:fill="F4F7FB" w:color="auto" w:val="clear"/>
            <w:tcMar>
              <w:top w:type="dxa" w:w="60"/>
              <w:left w:type="dxa" w:w="90"/>
              <w:bottom w:type="dxa" w:w="60"/>
              <w:right w:type="dxa" w:w="90"/>
            </w:tcMar>
            <w:vAlign w:val="center"/>
          </w:tcPr>
          <w:p>
            <w:pPr>
              <w:spacing w:after="0" w:line="264"/>
            </w:pPr>
            <w:r>
              <w:rPr>
                <w:b/>
                <w:bCs/>
                <w:sz w:val="19"/>
                <w:szCs w:val="19"/>
              </w:rPr>
              <w:t xml:space="preserve">LLM hallucinates unsafe advice</w:t>
            </w:r>
          </w:p>
        </w:tc>
        <w:tc>
          <w:tcPr>
            <w:tcW w:type="dxa" w:w="3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Model</w:t>
            </w:r>
          </w:p>
        </w:tc>
        <w:tc>
          <w:tcPr>
            <w:tcW w:type="dxa" w:w="38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Rule engine owns safety bands; LLM only phrases; show citations</w:t>
            </w:r>
          </w:p>
        </w:tc>
      </w:tr>
      <w:tr>
        <w:tc>
          <w:tcPr>
            <w:tcW w:type="dxa" w:w="1900"/>
            <w:shd w:fill="FFFFFF" w:color="auto" w:val="clear"/>
            <w:tcMar>
              <w:top w:type="dxa" w:w="60"/>
              <w:left w:type="dxa" w:w="90"/>
              <w:bottom w:type="dxa" w:w="60"/>
              <w:right w:type="dxa" w:w="90"/>
            </w:tcMar>
            <w:vAlign w:val="center"/>
          </w:tcPr>
          <w:p>
            <w:pPr>
              <w:spacing w:after="0" w:line="264"/>
            </w:pPr>
            <w:r>
              <w:rPr>
                <w:b/>
                <w:bCs/>
                <w:sz w:val="19"/>
                <w:szCs w:val="19"/>
              </w:rPr>
              <w:t xml:space="preserve">Thin RAG corpus</w:t>
            </w:r>
          </w:p>
        </w:tc>
        <w:tc>
          <w:tcPr>
            <w:tcW w:type="dxa" w:w="3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Data</w:t>
            </w:r>
          </w:p>
        </w:tc>
        <w:tc>
          <w:tcPr>
            <w:tcW w:type="dxa" w:w="38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Pre-assemble 20–40 PDFs + synthesised SOPs before P3</w:t>
            </w:r>
          </w:p>
        </w:tc>
      </w:tr>
      <w:tr>
        <w:tc>
          <w:tcPr>
            <w:tcW w:type="dxa" w:w="1900"/>
            <w:shd w:fill="F4F7FB" w:color="auto" w:val="clear"/>
            <w:tcMar>
              <w:top w:type="dxa" w:w="60"/>
              <w:left w:type="dxa" w:w="90"/>
              <w:bottom w:type="dxa" w:w="60"/>
              <w:right w:type="dxa" w:w="90"/>
            </w:tcMar>
            <w:vAlign w:val="center"/>
          </w:tcPr>
          <w:p>
            <w:pPr>
              <w:spacing w:after="0" w:line="264"/>
            </w:pPr>
            <w:r>
              <w:rPr>
                <w:b/>
                <w:bCs/>
                <w:sz w:val="19"/>
                <w:szCs w:val="19"/>
              </w:rPr>
              <w:t xml:space="preserve">FE/BE integration crunch</w:t>
            </w:r>
          </w:p>
        </w:tc>
        <w:tc>
          <w:tcPr>
            <w:tcW w:type="dxa" w:w="3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Integration</w:t>
            </w:r>
          </w:p>
        </w:tc>
        <w:tc>
          <w:tcPr>
            <w:tcW w:type="dxa" w:w="38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Freeze API contract in P2; frontend on mock data early</w:t>
            </w:r>
          </w:p>
        </w:tc>
      </w:tr>
      <w:tr>
        <w:tc>
          <w:tcPr>
            <w:tcW w:type="dxa" w:w="1900"/>
            <w:shd w:fill="FFFFFF" w:color="auto" w:val="clear"/>
            <w:tcMar>
              <w:top w:type="dxa" w:w="60"/>
              <w:left w:type="dxa" w:w="90"/>
              <w:bottom w:type="dxa" w:w="60"/>
              <w:right w:type="dxa" w:w="90"/>
            </w:tcMar>
            <w:vAlign w:val="center"/>
          </w:tcPr>
          <w:p>
            <w:pPr>
              <w:spacing w:after="0" w:line="264"/>
            </w:pPr>
            <w:r>
              <w:rPr>
                <w:b/>
                <w:bCs/>
                <w:sz w:val="19"/>
                <w:szCs w:val="19"/>
              </w:rPr>
              <w:t xml:space="preserve">LLM latency in demo</w:t>
            </w:r>
          </w:p>
        </w:tc>
        <w:tc>
          <w:tcPr>
            <w:tcW w:type="dxa" w:w="3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Technical</w:t>
            </w:r>
          </w:p>
        </w:tc>
        <w:tc>
          <w:tcPr>
            <w:tcW w:type="dxa" w:w="38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Free fast inference + cache demo-asset responses</w:t>
            </w:r>
          </w:p>
        </w:tc>
      </w:tr>
      <w:tr>
        <w:tc>
          <w:tcPr>
            <w:tcW w:type="dxa" w:w="1900"/>
            <w:shd w:fill="F4F7FB" w:color="auto" w:val="clear"/>
            <w:tcMar>
              <w:top w:type="dxa" w:w="60"/>
              <w:left w:type="dxa" w:w="90"/>
              <w:bottom w:type="dxa" w:w="60"/>
              <w:right w:type="dxa" w:w="90"/>
            </w:tcMar>
            <w:vAlign w:val="center"/>
          </w:tcPr>
          <w:p>
            <w:pPr>
              <w:spacing w:after="0" w:line="264"/>
            </w:pPr>
            <w:r>
              <w:rPr>
                <w:b/>
                <w:bCs/>
                <w:sz w:val="19"/>
                <w:szCs w:val="19"/>
              </w:rPr>
              <w:t xml:space="preserve">Budget / API cost</w:t>
            </w:r>
          </w:p>
        </w:tc>
        <w:tc>
          <w:tcPr>
            <w:tcW w:type="dxa" w:w="33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Resource</w:t>
            </w:r>
          </w:p>
        </w:tc>
        <w:tc>
          <w:tcPr>
            <w:tcW w:type="dxa" w:w="38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Every dependency is free — no paid service anywhere</w:t>
            </w:r>
          </w:p>
        </w:tc>
      </w:tr>
      <w:tr>
        <w:tc>
          <w:tcPr>
            <w:tcW w:type="dxa" w:w="1900"/>
            <w:shd w:fill="FFFFFF" w:color="auto" w:val="clear"/>
            <w:tcMar>
              <w:top w:type="dxa" w:w="60"/>
              <w:left w:type="dxa" w:w="90"/>
              <w:bottom w:type="dxa" w:w="60"/>
              <w:right w:type="dxa" w:w="90"/>
            </w:tcMar>
            <w:vAlign w:val="center"/>
          </w:tcPr>
          <w:p>
            <w:pPr>
              <w:spacing w:after="0" w:line="264"/>
            </w:pPr>
            <w:r>
              <w:rPr>
                <w:b/>
                <w:bCs/>
                <w:sz w:val="19"/>
                <w:szCs w:val="19"/>
              </w:rPr>
              <w:t xml:space="preserve">Scope creep</w:t>
            </w:r>
          </w:p>
        </w:tc>
        <w:tc>
          <w:tcPr>
            <w:tcW w:type="dxa" w:w="33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Timeline</w:t>
            </w:r>
          </w:p>
        </w:tc>
        <w:tc>
          <w:tcPr>
            <w:tcW w:type="dxa" w:w="38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Hard cuts fixed in Section 4; good-to-haves gated</w:t>
            </w:r>
          </w:p>
        </w:tc>
      </w:tr>
    </w:tbl>
    <w:p>
      <w:pPr>
        <w:pStyle w:val="Heading1"/>
        <w:spacing w:after="140" w:before="280"/>
      </w:pPr>
      <w:r>
        <w:rPr>
          <w:b/>
          <w:bCs/>
          <w:color w:val="1F3A5F"/>
          <w:sz w:val="30"/>
          <w:szCs w:val="30"/>
        </w:rPr>
        <w:t xml:space="preserve">13. Expected Outcomes &amp; Success Metrics</w:t>
      </w:r>
    </w:p>
    <w:p>
      <w:pPr>
        <w:spacing w:after="120" w:before="0" w:line="276"/>
      </w:pPr>
      <w:r>
        <w:rPr>
          <w:sz w:val="21"/>
          <w:szCs w:val="21"/>
        </w:rPr>
        <w:t xml:space="preserve">Aligned to the Problem Statement's evaluation focus, success is measured — not asserted:</w:t>
      </w:r>
    </w:p>
    <w:p>
      <w:pPr>
        <w:pStyle w:val="ListParagraph"/>
        <w:numPr>
          <w:ilvl w:val="0"/>
          <w:numId w:val="2"/>
        </w:numPr>
        <w:spacing w:after="70" w:line="270"/>
      </w:pPr>
      <w:r>
        <w:rPr>
          <w:b/>
          <w:bCs/>
          <w:sz w:val="21"/>
          <w:szCs w:val="21"/>
        </w:rPr>
        <w:t xml:space="preserve">Prediction accuracy — </w:t>
      </w:r>
      <w:r>
        <w:rPr>
          <w:sz w:val="21"/>
          <w:szCs w:val="21"/>
        </w:rPr>
        <w:t xml:space="preserve">SoH / RUL prediction error (RMSE) versus observed degradation, benchmarked against a naive persistence baseline.</w:t>
      </w:r>
    </w:p>
    <w:p>
      <w:pPr>
        <w:pStyle w:val="ListParagraph"/>
        <w:numPr>
          <w:ilvl w:val="0"/>
          <w:numId w:val="2"/>
        </w:numPr>
        <w:spacing w:after="70" w:line="270"/>
      </w:pPr>
      <w:r>
        <w:rPr>
          <w:b/>
          <w:bCs/>
          <w:sz w:val="21"/>
          <w:szCs w:val="21"/>
        </w:rPr>
        <w:t xml:space="preserve">Warning lead time — </w:t>
      </w:r>
      <w:r>
        <w:rPr>
          <w:sz w:val="21"/>
          <w:szCs w:val="21"/>
        </w:rPr>
        <w:t xml:space="preserve">Lead time (in cycles) between a Critical flag and the actual end-of-life threshold.</w:t>
      </w:r>
    </w:p>
    <w:p>
      <w:pPr>
        <w:pStyle w:val="ListParagraph"/>
        <w:numPr>
          <w:ilvl w:val="0"/>
          <w:numId w:val="2"/>
        </w:numPr>
        <w:spacing w:after="70" w:line="270"/>
      </w:pPr>
      <w:r>
        <w:rPr>
          <w:b/>
          <w:bCs/>
          <w:sz w:val="21"/>
          <w:szCs w:val="21"/>
        </w:rPr>
        <w:t xml:space="preserve">Grounding rate — </w:t>
      </w:r>
      <w:r>
        <w:rPr>
          <w:sz w:val="21"/>
          <w:szCs w:val="21"/>
        </w:rPr>
        <w:t xml:space="preserve">Share of recommendations with a valid document citation (target: 100%).</w:t>
      </w:r>
    </w:p>
    <w:p>
      <w:pPr>
        <w:pStyle w:val="ListParagraph"/>
        <w:numPr>
          <w:ilvl w:val="0"/>
          <w:numId w:val="2"/>
        </w:numPr>
        <w:spacing w:after="70" w:line="270"/>
      </w:pPr>
      <w:r>
        <w:rPr>
          <w:b/>
          <w:bCs/>
          <w:sz w:val="21"/>
          <w:szCs w:val="21"/>
        </w:rPr>
        <w:t xml:space="preserve">Business impact — </w:t>
      </w:r>
      <w:r>
        <w:rPr>
          <w:sz w:val="21"/>
          <w:szCs w:val="21"/>
        </w:rPr>
        <w:t xml:space="preserve">Illustrative impact model (assumptions explicit) quantifying avoided premature replacement and downtime.</w:t>
      </w:r>
    </w:p>
    <w:p>
      <w:pPr>
        <w:spacing w:after="20"/>
      </w:pPr>
    </w:p>
    <w:p>
      <w:pPr>
        <w:spacing w:after="120" w:line="276"/>
      </w:pPr>
      <w:r>
        <w:rPr>
          <w:b/>
          <w:bCs/>
          <w:color w:val="1F3A5F"/>
          <w:sz w:val="21"/>
          <w:szCs w:val="21"/>
        </w:rPr>
        <w:t xml:space="preserve">Achieved in Phase P1 (real NASA data, cross-cell test on unseen cell B0018): </w:t>
      </w:r>
      <w:r>
        <w:rPr>
          <w:sz w:val="21"/>
          <w:szCs w:val="21"/>
        </w:rPr>
        <w:t xml:space="preserve">SoH estimation RMSE 0.0275 (R² 0.89); RUL RMSE 16.5 cycles (R² 0.74). The model never saw the test cell during training — these are genuine generalisation results on 100% real data.</w:t>
      </w:r>
    </w:p>
    <w:p>
      <w:pPr>
        <w:spacing w:after="40"/>
      </w:pPr>
    </w:p>
    <w:p>
      <w:pPr>
        <w:spacing w:after="60" w:before="0" w:line="276"/>
      </w:pPr>
      <w:r>
        <w:rPr>
          <w:b/>
          <w:bCs/>
          <w:sz w:val="21"/>
          <w:szCs w:val="21"/>
        </w:rPr>
        <w:t xml:space="preserve">Illustrative impact model (assumptions stated openly):</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4600"/>
        <w:gridCol w:w="4426"/>
      </w:tblGrid>
      <w:tr>
        <w:trPr>
          <w:tblHeader/>
        </w:trPr>
        <w:tc>
          <w:tcPr>
            <w:tcW w:type="dxa" w:w="46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Assumption</w:t>
            </w:r>
          </w:p>
        </w:tc>
        <w:tc>
          <w:tcPr>
            <w:tcW w:type="dxa" w:w="44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Value</w:t>
            </w:r>
          </w:p>
        </w:tc>
      </w:tr>
      <w:tr>
        <w:tc>
          <w:tcPr>
            <w:tcW w:type="dxa" w:w="4600"/>
            <w:shd w:fill="FFFFFF" w:color="auto" w:val="clear"/>
            <w:tcMar>
              <w:top w:type="dxa" w:w="60"/>
              <w:left w:type="dxa" w:w="90"/>
              <w:bottom w:type="dxa" w:w="60"/>
              <w:right w:type="dxa" w:w="90"/>
            </w:tcMar>
            <w:vAlign w:val="center"/>
          </w:tcPr>
          <w:p>
            <w:pPr>
              <w:spacing w:after="0" w:line="264"/>
            </w:pPr>
            <w:r>
              <w:rPr>
                <w:sz w:val="19"/>
                <w:szCs w:val="19"/>
              </w:rPr>
              <w:t xml:space="preserve">Fleet size (industrial EVs)</w:t>
            </w:r>
          </w:p>
        </w:tc>
        <w:tc>
          <w:tcPr>
            <w:tcW w:type="dxa" w:w="4426"/>
            <w:shd w:fill="FFFFFF" w:color="auto" w:val="clear"/>
            <w:tcMar>
              <w:top w:type="dxa" w:w="60"/>
              <w:left w:type="dxa" w:w="90"/>
              <w:bottom w:type="dxa" w:w="60"/>
              <w:right w:type="dxa" w:w="90"/>
            </w:tcMar>
            <w:vAlign w:val="center"/>
          </w:tcPr>
          <w:p>
            <w:pPr>
              <w:spacing w:after="0" w:line="264"/>
            </w:pPr>
            <w:r>
              <w:rPr>
                <w:sz w:val="19"/>
                <w:szCs w:val="19"/>
              </w:rPr>
              <w:t xml:space="preserve">100 vehicles</w:t>
            </w:r>
          </w:p>
        </w:tc>
      </w:tr>
      <w:tr>
        <w:tc>
          <w:tcPr>
            <w:tcW w:type="dxa" w:w="4600"/>
            <w:shd w:fill="F4F7FB" w:color="auto" w:val="clear"/>
            <w:tcMar>
              <w:top w:type="dxa" w:w="60"/>
              <w:left w:type="dxa" w:w="90"/>
              <w:bottom w:type="dxa" w:w="60"/>
              <w:right w:type="dxa" w:w="90"/>
            </w:tcMar>
            <w:vAlign w:val="center"/>
          </w:tcPr>
          <w:p>
            <w:pPr>
              <w:spacing w:after="0" w:line="264"/>
            </w:pPr>
            <w:r>
              <w:rPr>
                <w:sz w:val="19"/>
                <w:szCs w:val="19"/>
              </w:rPr>
              <w:t xml:space="preserve">Battery pack cost per vehicle</w:t>
            </w:r>
          </w:p>
        </w:tc>
        <w:tc>
          <w:tcPr>
            <w:tcW w:type="dxa" w:w="4426"/>
            <w:shd w:fill="F4F7FB" w:color="auto" w:val="clear"/>
            <w:tcMar>
              <w:top w:type="dxa" w:w="60"/>
              <w:left w:type="dxa" w:w="90"/>
              <w:bottom w:type="dxa" w:w="60"/>
              <w:right w:type="dxa" w:w="90"/>
            </w:tcMar>
            <w:vAlign w:val="center"/>
          </w:tcPr>
          <w:p>
            <w:pPr>
              <w:spacing w:after="0" w:line="264"/>
            </w:pPr>
            <w:r>
              <w:rPr>
                <w:sz w:val="19"/>
                <w:szCs w:val="19"/>
              </w:rPr>
              <w:t xml:space="preserve">₹8–12 lakh</w:t>
            </w:r>
          </w:p>
        </w:tc>
      </w:tr>
      <w:tr>
        <w:tc>
          <w:tcPr>
            <w:tcW w:type="dxa" w:w="4600"/>
            <w:shd w:fill="FFFFFF" w:color="auto" w:val="clear"/>
            <w:tcMar>
              <w:top w:type="dxa" w:w="60"/>
              <w:left w:type="dxa" w:w="90"/>
              <w:bottom w:type="dxa" w:w="60"/>
              <w:right w:type="dxa" w:w="90"/>
            </w:tcMar>
            <w:vAlign w:val="center"/>
          </w:tcPr>
          <w:p>
            <w:pPr>
              <w:spacing w:after="0" w:line="264"/>
            </w:pPr>
            <w:r>
              <w:rPr>
                <w:sz w:val="19"/>
                <w:szCs w:val="19"/>
              </w:rPr>
              <w:t xml:space="preserve">Premature replacements avoided (APM)</w:t>
            </w:r>
          </w:p>
        </w:tc>
        <w:tc>
          <w:tcPr>
            <w:tcW w:type="dxa" w:w="4426"/>
            <w:shd w:fill="FFFFFF" w:color="auto" w:val="clear"/>
            <w:tcMar>
              <w:top w:type="dxa" w:w="60"/>
              <w:left w:type="dxa" w:w="90"/>
              <w:bottom w:type="dxa" w:w="60"/>
              <w:right w:type="dxa" w:w="90"/>
            </w:tcMar>
            <w:vAlign w:val="center"/>
          </w:tcPr>
          <w:p>
            <w:pPr>
              <w:spacing w:after="0" w:line="264"/>
            </w:pPr>
            <w:r>
              <w:rPr>
                <w:sz w:val="19"/>
                <w:szCs w:val="19"/>
              </w:rPr>
              <w:t xml:space="preserve">15–20%</w:t>
            </w:r>
          </w:p>
        </w:tc>
      </w:tr>
      <w:tr>
        <w:tc>
          <w:tcPr>
            <w:tcW w:type="dxa" w:w="4600"/>
            <w:shd w:fill="F4F7FB" w:color="auto" w:val="clear"/>
            <w:tcMar>
              <w:top w:type="dxa" w:w="60"/>
              <w:left w:type="dxa" w:w="90"/>
              <w:bottom w:type="dxa" w:w="60"/>
              <w:right w:type="dxa" w:w="90"/>
            </w:tcMar>
            <w:vAlign w:val="center"/>
          </w:tcPr>
          <w:p>
            <w:pPr>
              <w:spacing w:after="0" w:line="264"/>
            </w:pPr>
            <w:r>
              <w:rPr>
                <w:sz w:val="19"/>
                <w:szCs w:val="19"/>
              </w:rPr>
              <w:t xml:space="preserve">Unplanned battery downtime reduced</w:t>
            </w:r>
          </w:p>
        </w:tc>
        <w:tc>
          <w:tcPr>
            <w:tcW w:type="dxa" w:w="4426"/>
            <w:shd w:fill="F4F7FB" w:color="auto" w:val="clear"/>
            <w:tcMar>
              <w:top w:type="dxa" w:w="60"/>
              <w:left w:type="dxa" w:w="90"/>
              <w:bottom w:type="dxa" w:w="60"/>
              <w:right w:type="dxa" w:w="90"/>
            </w:tcMar>
            <w:vAlign w:val="center"/>
          </w:tcPr>
          <w:p>
            <w:pPr>
              <w:spacing w:after="0" w:line="264"/>
            </w:pPr>
            <w:r>
              <w:rPr>
                <w:sz w:val="19"/>
                <w:szCs w:val="19"/>
              </w:rPr>
              <w:t xml:space="preserve">~25%</w:t>
            </w:r>
          </w:p>
        </w:tc>
      </w:tr>
      <w:tr>
        <w:tc>
          <w:tcPr>
            <w:tcW w:type="dxa" w:w="4600"/>
            <w:shd w:fill="FFFFFF" w:color="auto" w:val="clear"/>
            <w:tcMar>
              <w:top w:type="dxa" w:w="60"/>
              <w:left w:type="dxa" w:w="90"/>
              <w:bottom w:type="dxa" w:w="60"/>
              <w:right w:type="dxa" w:w="90"/>
            </w:tcMar>
            <w:vAlign w:val="center"/>
          </w:tcPr>
          <w:p>
            <w:pPr>
              <w:spacing w:after="0" w:line="264"/>
            </w:pPr>
            <w:r>
              <w:rPr>
                <w:sz w:val="19"/>
                <w:szCs w:val="19"/>
              </w:rPr>
              <w:t xml:space="preserve">Indicative annual saving (illustrative)</w:t>
            </w:r>
          </w:p>
        </w:tc>
        <w:tc>
          <w:tcPr>
            <w:tcW w:type="dxa" w:w="4426"/>
            <w:shd w:fill="FFFFFF" w:color="auto" w:val="clear"/>
            <w:tcMar>
              <w:top w:type="dxa" w:w="60"/>
              <w:left w:type="dxa" w:w="90"/>
              <w:bottom w:type="dxa" w:w="60"/>
              <w:right w:type="dxa" w:w="90"/>
            </w:tcMar>
            <w:vAlign w:val="center"/>
          </w:tcPr>
          <w:p>
            <w:pPr>
              <w:spacing w:after="0" w:line="264"/>
            </w:pPr>
            <w:r>
              <w:rPr>
                <w:sz w:val="19"/>
                <w:szCs w:val="19"/>
              </w:rPr>
              <w:t xml:space="preserve">₹1.2–1.8 crore / fleet</w:t>
            </w:r>
          </w:p>
        </w:tc>
      </w:tr>
    </w:tbl>
    <w:p>
      <w:pPr>
        <w:spacing w:after="120" w:before="0" w:line="276"/>
      </w:pPr>
      <w:r>
        <w:rPr>
          <w:i/>
          <w:iCs/>
          <w:sz w:val="21"/>
          <w:szCs w:val="21"/>
        </w:rPr>
        <w:t xml:space="preserve">Figures are illustrative and clearly assumption-based, as expected of a hackathon impact model — the method, not the exact number, is the deliverable.</w:t>
      </w:r>
    </w:p>
    <w:p>
      <w:pPr>
        <w:pStyle w:val="Heading1"/>
        <w:spacing w:after="140" w:before="280"/>
      </w:pPr>
      <w:r>
        <w:rPr>
          <w:b/>
          <w:bCs/>
          <w:color w:val="1F3A5F"/>
          <w:sz w:val="30"/>
          <w:szCs w:val="30"/>
        </w:rPr>
        <w:t xml:space="preserve">14. Alignment with Judging Criteria</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2200"/>
        <w:gridCol w:w="1100"/>
        <w:gridCol w:w="5726"/>
      </w:tblGrid>
      <w:tr>
        <w:trPr>
          <w:tblHeader/>
        </w:trPr>
        <w:tc>
          <w:tcPr>
            <w:tcW w:type="dxa" w:w="22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Criterion (weight)</w:t>
            </w:r>
          </w:p>
        </w:tc>
        <w:tc>
          <w:tcPr>
            <w:tcW w:type="dxa" w:w="11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Focus</w:t>
            </w:r>
          </w:p>
        </w:tc>
        <w:tc>
          <w:tcPr>
            <w:tcW w:type="dxa" w:w="57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How CellSense AI addresses it</w:t>
            </w:r>
          </w:p>
        </w:tc>
      </w:tr>
      <w:tr>
        <w:tc>
          <w:tcPr>
            <w:tcW w:type="dxa" w:w="2200"/>
            <w:shd w:fill="FFFFFF" w:color="auto" w:val="clear"/>
            <w:tcMar>
              <w:top w:type="dxa" w:w="60"/>
              <w:left w:type="dxa" w:w="90"/>
              <w:bottom w:type="dxa" w:w="60"/>
              <w:right w:type="dxa" w:w="90"/>
            </w:tcMar>
            <w:vAlign w:val="center"/>
          </w:tcPr>
          <w:p>
            <w:pPr>
              <w:spacing w:after="0" w:line="264"/>
            </w:pPr>
            <w:r>
              <w:rPr>
                <w:b/>
                <w:bCs/>
                <w:sz w:val="19"/>
                <w:szCs w:val="19"/>
              </w:rPr>
              <w:t xml:space="preserve">Innovation (25%)</w:t>
            </w:r>
          </w:p>
        </w:tc>
        <w:tc>
          <w:tcPr>
            <w:tcW w:type="dxa" w:w="11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High</w:t>
            </w:r>
          </w:p>
        </w:tc>
        <w:tc>
          <w:tcPr>
            <w:tcW w:type="dxa" w:w="57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Decision-Intelligence loop — grounded, cited APM actions, not just a prediction</w:t>
            </w:r>
          </w:p>
        </w:tc>
      </w:tr>
      <w:tr>
        <w:tc>
          <w:tcPr>
            <w:tcW w:type="dxa" w:w="2200"/>
            <w:shd w:fill="F4F7FB" w:color="auto" w:val="clear"/>
            <w:tcMar>
              <w:top w:type="dxa" w:w="60"/>
              <w:left w:type="dxa" w:w="90"/>
              <w:bottom w:type="dxa" w:w="60"/>
              <w:right w:type="dxa" w:w="90"/>
            </w:tcMar>
            <w:vAlign w:val="center"/>
          </w:tcPr>
          <w:p>
            <w:pPr>
              <w:spacing w:after="0" w:line="264"/>
            </w:pPr>
            <w:r>
              <w:rPr>
                <w:b/>
                <w:bCs/>
                <w:sz w:val="19"/>
                <w:szCs w:val="19"/>
              </w:rPr>
              <w:t xml:space="preserve">Business Impact (25%)</w:t>
            </w:r>
          </w:p>
        </w:tc>
        <w:tc>
          <w:tcPr>
            <w:tcW w:type="dxa" w:w="11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High</w:t>
            </w:r>
          </w:p>
        </w:tc>
        <w:tc>
          <w:tcPr>
            <w:tcW w:type="dxa" w:w="57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Avoided replacement + downtime, quantified; net-zero relevance</w:t>
            </w:r>
          </w:p>
        </w:tc>
      </w:tr>
      <w:tr>
        <w:tc>
          <w:tcPr>
            <w:tcW w:type="dxa" w:w="2200"/>
            <w:shd w:fill="FFFFFF" w:color="auto" w:val="clear"/>
            <w:tcMar>
              <w:top w:type="dxa" w:w="60"/>
              <w:left w:type="dxa" w:w="90"/>
              <w:bottom w:type="dxa" w:w="60"/>
              <w:right w:type="dxa" w:w="90"/>
            </w:tcMar>
            <w:vAlign w:val="center"/>
          </w:tcPr>
          <w:p>
            <w:pPr>
              <w:spacing w:after="0" w:line="264"/>
            </w:pPr>
            <w:r>
              <w:rPr>
                <w:b/>
                <w:bCs/>
                <w:sz w:val="19"/>
                <w:szCs w:val="19"/>
              </w:rPr>
              <w:t xml:space="preserve">Technical Excellence (20%)</w:t>
            </w:r>
          </w:p>
        </w:tc>
        <w:tc>
          <w:tcPr>
            <w:tcW w:type="dxa" w:w="11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High</w:t>
            </w:r>
          </w:p>
        </w:tc>
        <w:tc>
          <w:tcPr>
            <w:tcW w:type="dxa" w:w="57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Real-data ML with measured RMSE; clean ML + rule + RAG separation</w:t>
            </w:r>
          </w:p>
        </w:tc>
      </w:tr>
      <w:tr>
        <w:tc>
          <w:tcPr>
            <w:tcW w:type="dxa" w:w="2200"/>
            <w:shd w:fill="F4F7FB" w:color="auto" w:val="clear"/>
            <w:tcMar>
              <w:top w:type="dxa" w:w="60"/>
              <w:left w:type="dxa" w:w="90"/>
              <w:bottom w:type="dxa" w:w="60"/>
              <w:right w:type="dxa" w:w="90"/>
            </w:tcMar>
            <w:vAlign w:val="center"/>
          </w:tcPr>
          <w:p>
            <w:pPr>
              <w:spacing w:after="0" w:line="264"/>
            </w:pPr>
            <w:r>
              <w:rPr>
                <w:b/>
                <w:bCs/>
                <w:sz w:val="19"/>
                <w:szCs w:val="19"/>
              </w:rPr>
              <w:t xml:space="preserve">Scalability (15%)</w:t>
            </w:r>
          </w:p>
        </w:tc>
        <w:tc>
          <w:tcPr>
            <w:tcW w:type="dxa" w:w="11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Medium</w:t>
            </w:r>
          </w:p>
        </w:tc>
        <w:tc>
          <w:tcPr>
            <w:tcW w:type="dxa" w:w="57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Architecture generalises to any fleet; stateless services</w:t>
            </w:r>
          </w:p>
        </w:tc>
      </w:tr>
      <w:tr>
        <w:tc>
          <w:tcPr>
            <w:tcW w:type="dxa" w:w="2200"/>
            <w:shd w:fill="FFFFFF" w:color="auto" w:val="clear"/>
            <w:tcMar>
              <w:top w:type="dxa" w:w="60"/>
              <w:left w:type="dxa" w:w="90"/>
              <w:bottom w:type="dxa" w:w="60"/>
              <w:right w:type="dxa" w:w="90"/>
            </w:tcMar>
            <w:vAlign w:val="center"/>
          </w:tcPr>
          <w:p>
            <w:pPr>
              <w:spacing w:after="0" w:line="264"/>
            </w:pPr>
            <w:r>
              <w:rPr>
                <w:b/>
                <w:bCs/>
                <w:sz w:val="19"/>
                <w:szCs w:val="19"/>
              </w:rPr>
              <w:t xml:space="preserve">User Experience (15%)</w:t>
            </w:r>
          </w:p>
        </w:tc>
        <w:tc>
          <w:tcPr>
            <w:tcW w:type="dxa" w:w="11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High</w:t>
            </w:r>
          </w:p>
        </w:tc>
        <w:tc>
          <w:tcPr>
            <w:tcW w:type="dxa" w:w="57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Operator-first dashboard: risk ranking, drill-down, cited action</w:t>
            </w:r>
          </w:p>
        </w:tc>
      </w:tr>
    </w:tbl>
    <w:p>
      <w:pPr>
        <w:pStyle w:val="Heading1"/>
        <w:spacing w:after="140" w:before="280"/>
      </w:pPr>
      <w:r>
        <w:rPr>
          <w:b/>
          <w:bCs/>
          <w:color w:val="1F3A5F"/>
          <w:sz w:val="30"/>
          <w:szCs w:val="30"/>
        </w:rPr>
        <w:t xml:space="preserve">15. Team &amp; Roles</w:t>
      </w:r>
    </w:p>
    <w:p>
      <w:pPr>
        <w:spacing w:after="120" w:before="0" w:line="276"/>
      </w:pPr>
      <w:r>
        <w:rPr>
          <w:sz w:val="21"/>
          <w:szCs w:val="21"/>
        </w:rPr>
        <w:t xml:space="preserve">Team of up to four; roles map one-to-one to the folder structure to avoid collisions. (Replace with your members.)</w:t>
      </w:r>
    </w:p>
    <w:tbl>
      <w:tblPr>
        <w:tblW w:type="dxa" w:w="9026"/>
        <w:tblBorders>
          <w:top w:val="single" w:color="C7D0DA" w:sz="4"/>
          <w:left w:val="single" w:color="C7D0DA" w:sz="4"/>
          <w:bottom w:val="single" w:color="C7D0DA" w:sz="4"/>
          <w:right w:val="single" w:color="C7D0DA" w:sz="4"/>
          <w:insideH w:val="single" w:color="C7D0DA" w:sz="4"/>
          <w:insideV w:val="single" w:color="C7D0DA" w:sz="4"/>
        </w:tblBorders>
      </w:tblPr>
      <w:tblGrid>
        <w:gridCol w:w="2000"/>
        <w:gridCol w:w="2600"/>
        <w:gridCol w:w="4426"/>
      </w:tblGrid>
      <w:tr>
        <w:trPr>
          <w:tblHeader/>
        </w:trPr>
        <w:tc>
          <w:tcPr>
            <w:tcW w:type="dxa" w:w="20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Member</w:t>
            </w:r>
          </w:p>
        </w:tc>
        <w:tc>
          <w:tcPr>
            <w:tcW w:type="dxa" w:w="2600"/>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Role</w:t>
            </w:r>
          </w:p>
        </w:tc>
        <w:tc>
          <w:tcPr>
            <w:tcW w:type="dxa" w:w="4426"/>
            <w:shd w:fill="1F3A5F" w:color="auto" w:val="clear"/>
            <w:tcMar>
              <w:top w:type="dxa" w:w="60"/>
              <w:left w:type="dxa" w:w="90"/>
              <w:bottom w:type="dxa" w:w="60"/>
              <w:right w:type="dxa" w:w="90"/>
            </w:tcMar>
            <w:vAlign w:val="center"/>
          </w:tcPr>
          <w:p>
            <w:pPr>
              <w:spacing w:after="0" w:line="264"/>
            </w:pPr>
            <w:r>
              <w:rPr>
                <w:b/>
                <w:bCs/>
                <w:color w:val="FFFFFF"/>
                <w:sz w:val="19"/>
                <w:szCs w:val="19"/>
              </w:rPr>
              <w:t xml:space="preserve">Responsibility</w:t>
            </w:r>
          </w:p>
        </w:tc>
      </w:tr>
      <w:tr>
        <w:tc>
          <w:tcPr>
            <w:tcW w:type="dxa" w:w="2000"/>
            <w:shd w:fill="FFFFFF" w:color="auto" w:val="clear"/>
            <w:tcMar>
              <w:top w:type="dxa" w:w="60"/>
              <w:left w:type="dxa" w:w="90"/>
              <w:bottom w:type="dxa" w:w="60"/>
              <w:right w:type="dxa" w:w="90"/>
            </w:tcMar>
            <w:vAlign w:val="center"/>
          </w:tcPr>
          <w:p>
            <w:pPr>
              <w:spacing w:after="0" w:line="264"/>
            </w:pPr>
            <w:r>
              <w:rPr>
                <w:b/>
                <w:bCs/>
                <w:sz w:val="19"/>
                <w:szCs w:val="19"/>
              </w:rPr>
              <w:t xml:space="preserve">[Name 1]</w:t>
            </w:r>
          </w:p>
        </w:tc>
        <w:tc>
          <w:tcPr>
            <w:tcW w:type="dxa" w:w="2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ML Lead</w:t>
            </w:r>
          </w:p>
        </w:tc>
        <w:tc>
          <w:tcPr>
            <w:tcW w:type="dxa" w:w="4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Data pipeline, SoH/RUL models, evaluation (critical path)</w:t>
            </w:r>
          </w:p>
        </w:tc>
      </w:tr>
      <w:tr>
        <w:tc>
          <w:tcPr>
            <w:tcW w:type="dxa" w:w="2000"/>
            <w:shd w:fill="F4F7FB" w:color="auto" w:val="clear"/>
            <w:tcMar>
              <w:top w:type="dxa" w:w="60"/>
              <w:left w:type="dxa" w:w="90"/>
              <w:bottom w:type="dxa" w:w="60"/>
              <w:right w:type="dxa" w:w="90"/>
            </w:tcMar>
            <w:vAlign w:val="center"/>
          </w:tcPr>
          <w:p>
            <w:pPr>
              <w:spacing w:after="0" w:line="264"/>
            </w:pPr>
            <w:r>
              <w:rPr>
                <w:b/>
                <w:bCs/>
                <w:sz w:val="19"/>
                <w:szCs w:val="19"/>
              </w:rPr>
              <w:t xml:space="preserve">[Name 2]</w:t>
            </w:r>
          </w:p>
        </w:tc>
        <w:tc>
          <w:tcPr>
            <w:tcW w:type="dxa" w:w="26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Backend + Agents</w:t>
            </w:r>
          </w:p>
        </w:tc>
        <w:tc>
          <w:tcPr>
            <w:tcW w:type="dxa" w:w="44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FastAPI, database, agent orchestration, RAG wiring</w:t>
            </w:r>
          </w:p>
        </w:tc>
      </w:tr>
      <w:tr>
        <w:tc>
          <w:tcPr>
            <w:tcW w:type="dxa" w:w="2000"/>
            <w:shd w:fill="FFFFFF" w:color="auto" w:val="clear"/>
            <w:tcMar>
              <w:top w:type="dxa" w:w="60"/>
              <w:left w:type="dxa" w:w="90"/>
              <w:bottom w:type="dxa" w:w="60"/>
              <w:right w:type="dxa" w:w="90"/>
            </w:tcMar>
            <w:vAlign w:val="center"/>
          </w:tcPr>
          <w:p>
            <w:pPr>
              <w:spacing w:after="0" w:line="264"/>
            </w:pPr>
            <w:r>
              <w:rPr>
                <w:b/>
                <w:bCs/>
                <w:sz w:val="19"/>
                <w:szCs w:val="19"/>
              </w:rPr>
              <w:t xml:space="preserve">[Name 3]</w:t>
            </w:r>
          </w:p>
        </w:tc>
        <w:tc>
          <w:tcPr>
            <w:tcW w:type="dxa" w:w="2600"/>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Frontend</w:t>
            </w:r>
          </w:p>
        </w:tc>
        <w:tc>
          <w:tcPr>
            <w:tcW w:type="dxa" w:w="4426"/>
            <w:shd w:fill="FFFFFF" w:color="auto" w:val="clear"/>
            <w:tcMar>
              <w:top w:type="dxa" w:w="60"/>
              <w:left w:type="dxa" w:w="90"/>
              <w:bottom w:type="dxa" w:w="60"/>
              <w:right w:type="dxa" w:w="90"/>
            </w:tcMar>
            <w:vAlign w:val="center"/>
          </w:tcPr>
          <w:p>
            <w:pPr>
              <w:spacing w:after="0" w:line="264"/>
            </w:pPr>
            <w:r>
              <w:rPr>
                <w:b w:val="false"/>
                <w:bCs w:val="false"/>
                <w:sz w:val="19"/>
                <w:szCs w:val="19"/>
              </w:rPr>
              <w:t xml:space="preserve">React dashboard, charts, drill-down, recommendation panel</w:t>
            </w:r>
          </w:p>
        </w:tc>
      </w:tr>
      <w:tr>
        <w:tc>
          <w:tcPr>
            <w:tcW w:type="dxa" w:w="2000"/>
            <w:shd w:fill="F4F7FB" w:color="auto" w:val="clear"/>
            <w:tcMar>
              <w:top w:type="dxa" w:w="60"/>
              <w:left w:type="dxa" w:w="90"/>
              <w:bottom w:type="dxa" w:w="60"/>
              <w:right w:type="dxa" w:w="90"/>
            </w:tcMar>
            <w:vAlign w:val="center"/>
          </w:tcPr>
          <w:p>
            <w:pPr>
              <w:spacing w:after="0" w:line="264"/>
            </w:pPr>
            <w:r>
              <w:rPr>
                <w:b/>
                <w:bCs/>
                <w:sz w:val="19"/>
                <w:szCs w:val="19"/>
              </w:rPr>
              <w:t xml:space="preserve">[Name 4]</w:t>
            </w:r>
          </w:p>
        </w:tc>
        <w:tc>
          <w:tcPr>
            <w:tcW w:type="dxa" w:w="2600"/>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AI/NLP + Integration + Demo</w:t>
            </w:r>
          </w:p>
        </w:tc>
        <w:tc>
          <w:tcPr>
            <w:tcW w:type="dxa" w:w="4426"/>
            <w:shd w:fill="F4F7FB" w:color="auto" w:val="clear"/>
            <w:tcMar>
              <w:top w:type="dxa" w:w="60"/>
              <w:left w:type="dxa" w:w="90"/>
              <w:bottom w:type="dxa" w:w="60"/>
              <w:right w:type="dxa" w:w="90"/>
            </w:tcMar>
            <w:vAlign w:val="center"/>
          </w:tcPr>
          <w:p>
            <w:pPr>
              <w:spacing w:after="0" w:line="264"/>
            </w:pPr>
            <w:r>
              <w:rPr>
                <w:b w:val="false"/>
                <w:bCs w:val="false"/>
                <w:sz w:val="19"/>
                <w:szCs w:val="19"/>
              </w:rPr>
              <w:t xml:space="preserve">RAG corpus, LLM prompting, report generation, demo &amp; deck</w:t>
            </w:r>
          </w:p>
        </w:tc>
      </w:tr>
    </w:tbl>
    <w:p>
      <w:pPr>
        <w:pStyle w:val="Heading1"/>
        <w:spacing w:after="140" w:before="280"/>
      </w:pPr>
      <w:r>
        <w:rPr>
          <w:b/>
          <w:bCs/>
          <w:color w:val="1F3A5F"/>
          <w:sz w:val="30"/>
          <w:szCs w:val="30"/>
        </w:rPr>
        <w:t xml:space="preserve">16. Conclusion</w:t>
      </w:r>
    </w:p>
    <w:p>
      <w:pPr>
        <w:spacing w:after="120" w:before="0" w:line="276"/>
      </w:pPr>
      <w:r>
        <w:rPr>
          <w:sz w:val="21"/>
          <w:szCs w:val="21"/>
        </w:rPr>
        <w:t xml:space="preserve">CellSense AI is scoped to win: a provable machine-learning core that earns trust, wrapped in a natural-language decision-intelligence layer that delivers genuine Asset Performance Management value. It is built entirely on free, public data with an open-source stack, is realistic for a small team within the hackathon timeline, and maps directly to the highest-weighted judging criteria. Prediction earns credibility; the grounded, cited decision earns the win.</w:t>
      </w:r>
    </w:p>
    <w:p>
      <w:pPr>
        <w:spacing w:after="80"/>
      </w:pPr>
    </w:p>
    <w:p>
      <w:pPr>
        <w:spacing w:after="120" w:line="276"/>
      </w:pPr>
      <w:r>
        <w:rPr>
          <w:b/>
          <w:bCs/>
          <w:color w:val="1F3A5F"/>
          <w:sz w:val="19"/>
          <w:szCs w:val="19"/>
        </w:rPr>
        <w:t xml:space="preserve">Appendix — Primary data sources: </w:t>
      </w:r>
      <w:r>
        <w:rPr>
          <w:i/>
          <w:iCs/>
          <w:sz w:val="19"/>
          <w:szCs w:val="19"/>
        </w:rPr>
        <w:t xml:space="preserve">NASA Prognostics Center of Excellence (battery aging); University of Oxford Battery Degradation Dataset; MIT–Stanford (Toyota Research) cycle-life dataset; public OEM manuals and lithium-ion safety standards.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de684c450ebcd587a302457babc1bfe9f97ba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CellSense AI — ET AI Hackathon 2026 Solution Document</dc:title>
  <dc:creator>CellSense AI Team</dc:creator>
  <cp:lastModifiedBy>Un-named</cp:lastModifiedBy>
  <cp:revision>1</cp:revision>
  <dcterms:created xsi:type="dcterms:W3CDTF">2026-07-21T08:08:32.308Z</dcterms:created>
  <dcterms:modified xsi:type="dcterms:W3CDTF">2026-07-21T08:08:32.316Z</dcterms:modified>
</cp:coreProperties>
</file>

<file path=docProps/custom.xml><?xml version="1.0" encoding="utf-8"?>
<Properties xmlns="http://schemas.openxmlformats.org/officeDocument/2006/custom-properties" xmlns:vt="http://schemas.openxmlformats.org/officeDocument/2006/docPropsVTypes"/>
</file>