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Case Study Analysis Template</w:t>
      </w:r>
    </w:p>
    <w:p>
      <w:pPr>
        <w:jc w:val="center"/>
      </w:pPr>
      <w:r>
        <w:rPr>
          <w:i/>
        </w:rPr>
        <w:t>Automated Document Generation System</w:t>
      </w:r>
    </w:p>
    <w:p/>
    <w:p>
      <w:pPr>
        <w:pStyle w:val="Heading1"/>
      </w:pPr>
      <w:r>
        <w:t>Company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Name:</w:t>
            </w:r>
          </w:p>
        </w:tc>
        <w:tc>
          <w:tcPr>
            <w:tcW w:type="dxa" w:w="4320"/>
          </w:tcPr>
          <w:p>
            <w:r>
              <w:t>BLUE BIRD CORPORATION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Address:</w:t>
            </w:r>
          </w:p>
        </w:tc>
        <w:tc>
          <w:tcPr>
            <w:tcW w:type="dxa" w:w="4320"/>
          </w:tcPr>
          <w:p>
            <w:r>
              <w:t>Macon, Ge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Fiscal Year:</w:t>
            </w:r>
          </w:p>
        </w:tc>
        <w:tc>
          <w:tcPr>
            <w:tcW w:type="dxa" w:w="4320"/>
          </w:tcPr>
          <w:p>
            <w:r>
              <w:t>September 30, 2023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Industry:</w:t>
            </w:r>
          </w:p>
        </w:tc>
        <w:tc>
          <w:tcPr>
            <w:tcW w:type="dxa" w:w="4320"/>
          </w:tcPr>
          <w:p>
            <w:r>
              <w:t>Thesearevaluableprogramsforpotentialpropaneengineplatformsales,asannualbudgetsfor theseprogramsusuallyrangefrom$40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Stock Symbol:</w:t>
            </w:r>
          </w:p>
        </w:tc>
        <w:tc>
          <w:tcPr>
            <w:tcW w:type="dxa" w:w="4320"/>
          </w:tcPr>
          <w:p>
            <w:r>
              <w:t>BLBD</w:t>
            </w:r>
          </w:p>
        </w:tc>
      </w:tr>
    </w:tbl>
    <w:p>
      <w:pPr>
        <w:pStyle w:val="Heading1"/>
      </w:pPr>
      <w:r>
        <w:t>Financial Performance</w:t>
      </w:r>
    </w:p>
    <w:p>
      <w:pPr>
        <w:pStyle w:val="Heading2"/>
      </w:pPr>
      <w:r>
        <w:t>Revenue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Revenue:</w:t>
            </w:r>
          </w:p>
        </w:tc>
        <w:tc>
          <w:tcPr>
            <w:tcW w:type="dxa" w:w="4320"/>
          </w:tcPr>
          <w:p>
            <w:r>
              <w:t>$1.13B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Income:</w:t>
            </w:r>
          </w:p>
        </w:tc>
        <w:tc>
          <w:tcPr>
            <w:tcW w:type="dxa" w:w="4320"/>
          </w:tcPr>
          <w:p>
            <w:r>
              <w:t>$45.76K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Cash Flow:</w:t>
            </w:r>
          </w:p>
        </w:tc>
        <w:tc>
          <w:tcPr>
            <w:tcW w:type="dxa" w:w="4320"/>
          </w:tcPr>
          <w:p>
            <w:r>
              <w:t>$111.11M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Assets:</w:t>
            </w:r>
          </w:p>
        </w:tc>
        <w:tc>
          <w:tcPr>
            <w:tcW w:type="dxa" w:w="4320"/>
          </w:tcPr>
          <w:p>
            <w:r>
              <w:t>$93.45M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Liabilities:</w:t>
            </w:r>
          </w:p>
        </w:tc>
        <w:tc>
          <w:tcPr>
            <w:tcW w:type="dxa" w:w="4320"/>
          </w:tcPr>
          <w:p>
            <w:r>
              <w:t>$66.59M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Shareholders Equity: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Return on Equity:</w:t>
            </w:r>
          </w:p>
        </w:tc>
        <w:tc>
          <w:tcPr>
            <w:tcW w:type="dxa" w:w="4320"/>
          </w:tcPr>
          <w:p>
            <w:r>
              <w:t>73.02%</w:t>
            </w:r>
          </w:p>
        </w:tc>
      </w:tr>
    </w:tbl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Gross Margin:</w:t>
            </w:r>
          </w:p>
        </w:tc>
        <w:tc>
          <w:tcPr>
            <w:tcW w:type="dxa" w:w="4320"/>
          </w:tcPr>
          <w:p>
            <w:r>
              <w:t>19.18%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Margin:</w:t>
            </w:r>
          </w:p>
        </w:tc>
        <w:tc>
          <w:tcPr>
            <w:tcW w:type="dxa" w:w="4320"/>
          </w:tcPr>
          <w:p>
            <w:r>
              <w:t>9.54%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Margin:</w:t>
            </w:r>
          </w:p>
        </w:tc>
        <w:tc>
          <w:tcPr>
            <w:tcW w:type="dxa" w:w="4320"/>
          </w:tcPr>
          <w:p>
            <w:r>
              <w:t>7.97%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Current Ratio:</w:t>
            </w:r>
          </w:p>
        </w:tc>
        <w:tc>
          <w:tcPr>
            <w:tcW w:type="dxa" w:w="4320"/>
          </w:tcPr>
          <w:p>
            <w:r>
              <w:t>1.45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Debt-to-Equity Ratio: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Earnings Per Share:</w:t>
            </w:r>
          </w:p>
        </w:tc>
        <w:tc>
          <w:tcPr>
            <w:tcW w:type="dxa" w:w="4320"/>
          </w:tcPr>
          <w:p>
            <w:r>
              <w:t>$3.22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Price-to-Earnings Ratio:</w:t>
            </w:r>
          </w:p>
        </w:tc>
        <w:tc>
          <w:tcPr>
            <w:tcW w:type="dxa" w:w="4320"/>
          </w:tcPr>
          <w:p>
            <w:r>
              <w:t>13.30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Book Value Per Share:</w:t>
            </w:r>
          </w:p>
        </w:tc>
        <w:tc>
          <w:tcPr>
            <w:tcW w:type="dxa" w:w="4320"/>
          </w:tcPr>
          <w:p>
            <w:r>
              <w:t>$6.01</w:t>
            </w:r>
          </w:p>
        </w:tc>
      </w:tr>
    </w:tbl>
    <w:p>
      <w:pPr>
        <w:pStyle w:val="Heading1"/>
      </w:pPr>
      <w:r>
        <w:t>Financial Analysis</w:t>
      </w:r>
    </w:p>
    <w:p>
      <w:pPr>
        <w:pStyle w:val="Heading2"/>
      </w:pPr>
      <w:r>
        <w:t>Strengths</w:t>
      </w:r>
    </w:p>
    <w:p>
      <w:r>
        <w:t>• Decent profit margins of 7.97%</w:t>
        <w:br/>
        <w:t>• High return on equity of 73.02%</w:t>
        <w:br/>
        <w:t>• Good liquidity with current ratio of 1.45</w:t>
        <w:br/>
        <w:t>• Positive operating cash flow of $111.11M</w:t>
        <w:br/>
        <w:t>• Mid-cap company with established market presence</w:t>
      </w:r>
    </w:p>
    <w:p>
      <w:pPr>
        <w:pStyle w:val="Heading2"/>
      </w:pPr>
      <w:r>
        <w:t>Weaknesses</w:t>
      </w:r>
    </w:p>
    <w:p>
      <w:r>
        <w:t>• Areas for improvement being evaluated based on available data</w:t>
      </w:r>
    </w:p>
    <w:p>
      <w:pPr>
        <w:pStyle w:val="Heading2"/>
      </w:pPr>
      <w:r>
        <w:t>Opportunities</w:t>
      </w:r>
    </w:p>
    <w:p>
      <w:r>
        <w:t>• Infrastructure spending and government investment</w:t>
        <w:br/>
        <w:t>• Electric vehicle transition creating new market opportunities</w:t>
        <w:br/>
        <w:t>• Automation and efficiency improvements</w:t>
        <w:br/>
        <w:t>• Supply chain optimization technologies</w:t>
        <w:br/>
        <w:t>• Strong cash generation enabling strategic investments</w:t>
      </w:r>
    </w:p>
    <w:p>
      <w:pPr>
        <w:pStyle w:val="Heading2"/>
      </w:pPr>
      <w:r>
        <w:t>Threats</w:t>
      </w:r>
    </w:p>
    <w:p>
      <w:r>
        <w:t>• Supply chain disruptions and material cost inflation</w:t>
        <w:br/>
        <w:t>• Environmental regulations and compliance costs</w:t>
        <w:br/>
        <w:t>• Global trade tensions and tariff impacts</w:t>
        <w:br/>
        <w:t>• Economic cycles affecting capital expenditure</w:t>
      </w:r>
    </w:p>
    <w:p>
      <w:pPr>
        <w:pStyle w:val="Heading1"/>
      </w:pPr>
      <w:r>
        <w:t>Business Context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Market Capitalization:</w:t>
            </w:r>
          </w:p>
        </w:tc>
        <w:tc>
          <w:tcPr>
            <w:tcW w:type="dxa" w:w="4320"/>
          </w:tcPr>
          <w:p>
            <w:r>
              <w:t>$1.35B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Number of Employees:</w:t>
            </w:r>
          </w:p>
        </w:tc>
        <w:tc>
          <w:tcPr>
            <w:tcW w:type="dxa" w:w="4320"/>
          </w:tcPr>
          <w:p>
            <w:r>
              <w:t>2,000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Business:</w:t>
            </w:r>
          </w:p>
        </w:tc>
        <w:tc>
          <w:tcPr>
            <w:tcW w:type="dxa" w:w="4320"/>
          </w:tcPr>
          <w:p>
            <w:r>
              <w:t>Thesearevaluableprogramsforpotentialpropaneengineplatformsales,asannualbudgetsfor theseprogramsusuallyrangefrom$40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Geographic Markets:</w:t>
            </w:r>
          </w:p>
        </w:tc>
        <w:tc>
          <w:tcPr>
            <w:tcW w:type="dxa" w:w="4320"/>
          </w:tcPr>
          <w:p>
            <w:r>
              <w:t>{{geographic_markets}}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Key Products/Services:</w:t>
            </w:r>
          </w:p>
        </w:tc>
        <w:tc>
          <w:tcPr>
            <w:tcW w:type="dxa" w:w="4320"/>
          </w:tcPr>
          <w:p>
            <w:r>
              <w:t>$5 billion of funding of electric and propane-powered</w:t>
              <w:br/>
              <w:t>school buses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Competitors:</w:t>
            </w:r>
          </w:p>
        </w:tc>
        <w:tc>
          <w:tcPr>
            <w:tcW w:type="dxa" w:w="4320"/>
          </w:tcPr>
          <w:p>
            <w:r>
              <w:t>• Thomas Built Buses (Daimler)</w:t>
              <w:br/>
              <w:t>• IC Bus (Navistar)</w:t>
              <w:br/>
              <w:t>• Collins Bus Corporation</w:t>
              <w:br/>
              <w:t>• Carpenter Bus Sales</w:t>
              <w:br/>
              <w:t>• Trans Tech Bus</w:t>
            </w:r>
          </w:p>
        </w:tc>
      </w:tr>
    </w:tbl>
    <w:p>
      <w:pPr>
        <w:pStyle w:val="Heading1"/>
      </w:pPr>
      <w:r>
        <w:t>Recent Developments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Recent Acquisitions:</w:t>
            </w:r>
          </w:p>
        </w:tc>
        <w:tc>
          <w:tcPr>
            <w:tcW w:type="dxa" w:w="4320"/>
          </w:tcPr>
          <w:p>
            <w:r>
              <w:t>• Monitoring consolidation in school bus manufacturing sector</w:t>
              <w:br/>
              <w:t>• Potential acquisitions of electric vehicle technology companies</w:t>
              <w:br/>
              <w:t>• Strategic partnerships with charging infrastructure providers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Launches:</w:t>
            </w:r>
          </w:p>
        </w:tc>
        <w:tc>
          <w:tcPr>
            <w:tcW w:type="dxa" w:w="4320"/>
          </w:tcPr>
          <w:p>
            <w:r>
              <w:t>• Electric school bus models with advanced safety features</w:t>
              <w:br/>
              <w:t>• Connected vehicle technologies and fleet management systems</w:t>
              <w:br/>
              <w:t>• Alternative fuel propulsion systems (CNG, propane, hydrogen)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Initiatives:</w:t>
            </w:r>
          </w:p>
        </w:tc>
        <w:tc>
          <w:tcPr>
            <w:tcW w:type="dxa" w:w="4320"/>
          </w:tcPr>
          <w:p>
            <w:r>
              <w:t>• Transition to electric and alternative fuel vehicles</w:t>
              <w:br/>
              <w:t>• Expansion of aftermarket parts and service revenue</w:t>
              <w:br/>
              <w:t>• Digital transformation of manufacturing processes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Regulatory Changes:</w:t>
            </w:r>
          </w:p>
        </w:tc>
        <w:tc>
          <w:tcPr>
            <w:tcW w:type="dxa" w:w="4320"/>
          </w:tcPr>
          <w:p>
            <w:r>
              <w:t>• EPA emissions standards driving electric vehicle adoption</w:t>
              <w:br/>
              <w:t>• DOT safety regulations for school transportation</w:t>
              <w:br/>
              <w:t>• State-level incentives for clean energy vehicles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Developments:</w:t>
            </w:r>
          </w:p>
        </w:tc>
        <w:tc>
          <w:tcPr>
            <w:tcW w:type="dxa" w:w="4320"/>
          </w:tcPr>
          <w:p>
            <w:r>
              <w:t>• Growing demand for electric school buses driven by environmental concerns</w:t>
              <w:br/>
              <w:t>• Infrastructure spending bills supporting transportation modernization</w:t>
              <w:br/>
              <w:t>• Supply chain challenges affecting vehicle production timelines</w:t>
            </w:r>
          </w:p>
        </w:tc>
      </w:tr>
    </w:tbl>
    <w:p>
      <w:pPr>
        <w:pStyle w:val="Heading1"/>
      </w:pPr>
      <w:r>
        <w:t>Investment Recommendation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320"/>
          </w:tcPr>
          <w:p>
            <w:r>
              <w:t>STRONG BUY (Score: 4/6)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 Target:</w:t>
            </w:r>
          </w:p>
        </w:tc>
        <w:tc>
          <w:tcPr>
            <w:tcW w:type="dxa" w:w="4320"/>
          </w:tcPr>
          <w:p>
            <w:r>
              <w:t>$51.57 (Analyst consensus, +20.4% upside)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Horizon:</w:t>
            </w:r>
          </w:p>
        </w:tc>
        <w:tc>
          <w:tcPr>
            <w:tcW w:type="dxa" w:w="4320"/>
          </w:tcPr>
          <w:p>
            <w:r>
              <w:t>12-18 months (Standard investment horizon)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Assessment:</w:t>
            </w:r>
          </w:p>
        </w:tc>
        <w:tc>
          <w:tcPr>
            <w:tcW w:type="dxa" w:w="4320"/>
          </w:tcPr>
          <w:p>
            <w:r>
              <w:t>• High market volatility (Beta &gt; 1.3)</w:t>
            </w:r>
          </w:p>
        </w:tc>
      </w:tr>
    </w:tbl>
    <w:p/>
    <w:p>
      <w:pPr>
        <w:jc w:val="center"/>
      </w:pPr>
      <w:r>
        <w:rPr>
          <w:i/>
          <w:sz w:val="12"/>
        </w:rPr>
        <w:t>Generated on: {{generation_date}}</w:t>
      </w:r>
    </w:p>
    <w:p>
      <w:pPr>
        <w:jc w:val="center"/>
      </w:pPr>
      <w:r>
        <w:rPr>
          <w:i/>
          <w:sz w:val="12"/>
        </w:rPr>
        <w:t>This document was automatically generated using document automation tools.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