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Case Study Analysis Template</w:t>
      </w:r>
    </w:p>
    <w:p>
      <w:pPr>
        <w:jc w:val="center"/>
      </w:pPr>
      <w:r>
        <w:rPr>
          <w:i/>
        </w:rPr>
        <w:t>Automated Document Generation System</w:t>
      </w:r>
    </w:p>
    <w:p/>
    <w:p>
      <w:pPr>
        <w:pStyle w:val="Heading1"/>
      </w:pPr>
      <w:r>
        <w:t>Company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Name:</w:t>
            </w:r>
          </w:p>
        </w:tc>
        <w:tc>
          <w:tcPr>
            <w:tcW w:type="dxa" w:w="4320"/>
          </w:tcPr>
          <w:p>
            <w:r>
              <w:t>BLUE BIRD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 Address:</w:t>
            </w:r>
          </w:p>
        </w:tc>
        <w:tc>
          <w:tcPr>
            <w:tcW w:type="dxa" w:w="4320"/>
          </w:tcPr>
          <w:p>
            <w:r>
              <w:t>Macon, Georgia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Fiscal Year:</w:t>
            </w:r>
          </w:p>
        </w:tc>
        <w:tc>
          <w:tcPr>
            <w:tcW w:type="dxa" w:w="4320"/>
          </w:tcPr>
          <w:p>
            <w:r>
              <w:t>September30, 2023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Industry:</w:t>
            </w:r>
          </w:p>
        </w:tc>
        <w:tc>
          <w:tcPr>
            <w:tcW w:type="dxa" w:w="4320"/>
          </w:tcPr>
          <w:p>
            <w:r>
              <w:t>independent designer and manufacturer of school buses, with more than 601,000 buses sold since our formation in 1927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Stock Symbol:</w:t>
            </w:r>
          </w:p>
        </w:tc>
        <w:tc>
          <w:tcPr>
            <w:tcW w:type="dxa" w:w="4320"/>
          </w:tcPr>
          <w:p>
            <w:r>
              <w:t>BLBD</w:t>
            </w:r>
          </w:p>
        </w:tc>
      </w:tr>
    </w:tbl>
    <w:p>
      <w:pPr>
        <w:pStyle w:val="Heading1"/>
      </w:pPr>
      <w:r>
        <w:t>Financial Performance</w:t>
      </w:r>
    </w:p>
    <w:p>
      <w:pPr>
        <w:pStyle w:val="Heading2"/>
      </w:pPr>
      <w:r>
        <w:t>Revenue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Total Revenue:</w:t>
            </w:r>
          </w:p>
        </w:tc>
        <w:tc>
          <w:tcPr>
            <w:tcW w:type="dxa" w:w="4320"/>
          </w:tcPr>
          <w:p>
            <w:r>
              <w:t>$1.13B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Income:</w:t>
            </w:r>
          </w:p>
        </w:tc>
        <w:tc>
          <w:tcPr>
            <w:tcW w:type="dxa" w:w="4320"/>
          </w:tcPr>
          <w:p>
            <w:r>
              <w:t>$1.20K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Cash Flow:</w:t>
            </w:r>
          </w:p>
        </w:tc>
        <w:tc>
          <w:tcPr>
            <w:tcW w:type="dxa" w:w="4320"/>
          </w:tcPr>
          <w:p>
            <w:r>
              <w:t>$111.11M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Assets:</w:t>
            </w:r>
          </w:p>
        </w:tc>
        <w:tc>
          <w:tcPr>
            <w:tcW w:type="dxa" w:w="4320"/>
          </w:tcPr>
          <w:p>
            <w:r>
              <w:t>$417.77M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Liabilities:</w:t>
            </w:r>
          </w:p>
        </w:tc>
        <w:tc>
          <w:tcPr>
            <w:tcW w:type="dxa" w:w="4320"/>
          </w:tcPr>
          <w:p>
            <w:r>
              <w:t>$66.59K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Shareholders Equity: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Return on Equity:</w:t>
            </w:r>
          </w:p>
        </w:tc>
        <w:tc>
          <w:tcPr>
            <w:tcW w:type="dxa" w:w="4320"/>
          </w:tcPr>
          <w:p>
            <w:r>
              <w:t>73.02%</w:t>
            </w:r>
          </w:p>
        </w:tc>
      </w:tr>
    </w:tbl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Gross Margin:</w:t>
            </w:r>
          </w:p>
        </w:tc>
        <w:tc>
          <w:tcPr>
            <w:tcW w:type="dxa" w:w="4320"/>
          </w:tcPr>
          <w:p>
            <w:r>
              <w:t>19.18%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Operating Margin:</w:t>
            </w:r>
          </w:p>
        </w:tc>
        <w:tc>
          <w:tcPr>
            <w:tcW w:type="dxa" w:w="4320"/>
          </w:tcPr>
          <w:p>
            <w:r>
              <w:t>9.54%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Net Margin:</w:t>
            </w:r>
          </w:p>
        </w:tc>
        <w:tc>
          <w:tcPr>
            <w:tcW w:type="dxa" w:w="4320"/>
          </w:tcPr>
          <w:p>
            <w:r>
              <w:t>7.97%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Current Ratio:</w:t>
            </w:r>
          </w:p>
        </w:tc>
        <w:tc>
          <w:tcPr>
            <w:tcW w:type="dxa" w:w="4320"/>
          </w:tcPr>
          <w:p>
            <w:r>
              <w:t>1.45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Debt-to-Equity Ratio:</w:t>
            </w:r>
          </w:p>
        </w:tc>
        <w:tc>
          <w:tcPr>
            <w:tcW w:type="dxa" w:w="4320"/>
          </w:tcPr>
          <w:p>
            <w:r>
              <w:t>48.87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Earnings Per Share:</w:t>
            </w:r>
          </w:p>
        </w:tc>
        <w:tc>
          <w:tcPr>
            <w:tcW w:type="dxa" w:w="4320"/>
          </w:tcPr>
          <w:p>
            <w:r>
              <w:t>$3.22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Price-to-Earnings Ratio:</w:t>
            </w:r>
          </w:p>
        </w:tc>
        <w:tc>
          <w:tcPr>
            <w:tcW w:type="dxa" w:w="4320"/>
          </w:tcPr>
          <w:p>
            <w:r>
              <w:t>13.55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Book Value Per Share:</w:t>
            </w:r>
          </w:p>
        </w:tc>
        <w:tc>
          <w:tcPr>
            <w:tcW w:type="dxa" w:w="4320"/>
          </w:tcPr>
          <w:p>
            <w:r>
              <w:t>$6.01</w:t>
            </w:r>
          </w:p>
        </w:tc>
      </w:tr>
    </w:tbl>
    <w:p>
      <w:pPr>
        <w:pStyle w:val="Heading1"/>
      </w:pPr>
      <w:r>
        <w:t>Financial Analysis</w:t>
      </w:r>
    </w:p>
    <w:p>
      <w:pPr>
        <w:pStyle w:val="Heading2"/>
      </w:pPr>
      <w:r>
        <w:t>Strengths</w:t>
      </w:r>
    </w:p>
    <w:p>
      <w:r>
        <w:t>• High return on equity of 73.02%</w:t>
        <w:br/>
        <w:t>• Strong liquidity with current ratio of 1.45</w:t>
      </w:r>
    </w:p>
    <w:p>
      <w:pPr>
        <w:pStyle w:val="Heading2"/>
      </w:pPr>
      <w:r>
        <w:t>Weaknesses</w:t>
      </w:r>
    </w:p>
    <w:p>
      <w:r>
        <w:t>• High debt-to-equity ratio of 48.87</w:t>
      </w:r>
    </w:p>
    <w:p>
      <w:pPr>
        <w:pStyle w:val="Heading2"/>
      </w:pPr>
      <w:r>
        <w:t>Opportunities</w:t>
      </w:r>
    </w:p>
    <w:p>
      <w:r>
        <w:t>• Market expansion in emerging economies</w:t>
        <w:br/>
        <w:t>• Digital transformation initiatives</w:t>
        <w:br/>
        <w:t>• Strategic partnerships and alliances</w:t>
        <w:br/>
        <w:t>• New product development and innovation</w:t>
        <w:br/>
        <w:t>• Cost optimization and operational efficiency</w:t>
      </w:r>
    </w:p>
    <w:p>
      <w:pPr>
        <w:pStyle w:val="Heading2"/>
      </w:pPr>
      <w:r>
        <w:t>Threats</w:t>
      </w:r>
    </w:p>
    <w:p>
      <w:r>
        <w:t>• Increased competition in the market</w:t>
        <w:br/>
        <w:t>• Economic downturns and market volatility</w:t>
        <w:br/>
        <w:t>• Regulatory changes and compliance costs</w:t>
        <w:br/>
        <w:t>• Supply chain disruptions</w:t>
        <w:br/>
        <w:t>• Technological disruption and obsolescence</w:t>
      </w:r>
    </w:p>
    <w:p>
      <w:pPr>
        <w:pStyle w:val="Heading1"/>
      </w:pPr>
      <w:r>
        <w:t>Business Context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Market Capitalization:</w:t>
            </w:r>
          </w:p>
        </w:tc>
        <w:tc>
          <w:tcPr>
            <w:tcW w:type="dxa" w:w="4320"/>
          </w:tcPr>
          <w:p>
            <w:r>
              <w:t>$1.38B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Number of Employees:</w:t>
            </w:r>
          </w:p>
        </w:tc>
        <w:tc>
          <w:tcPr>
            <w:tcW w:type="dxa" w:w="4320"/>
          </w:tcPr>
          <w:p>
            <w:r>
              <w:t>1,945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Business:</w:t>
            </w:r>
          </w:p>
        </w:tc>
        <w:tc>
          <w:tcPr>
            <w:tcW w:type="dxa" w:w="4320"/>
          </w:tcPr>
          <w:p>
            <w:r>
              <w:t>independent designer and manufacturer of school buses, with more than 601,000 buses sold since our formation in 1927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Geographic Markets:</w:t>
            </w:r>
          </w:p>
        </w:tc>
        <w:tc>
          <w:tcPr>
            <w:tcW w:type="dxa" w:w="4320"/>
          </w:tcPr>
          <w:p>
            <w:r>
              <w:t>United States and Canada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Key Products/Services:</w:t>
            </w:r>
          </w:p>
        </w:tc>
        <w:tc>
          <w:tcPr>
            <w:tcW w:type="dxa" w:w="4320"/>
          </w:tcPr>
          <w:p>
            <w:r>
              <w:t>Type C school buses, (ii) Type Dschool buses, and (iii) specialty buses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Competitors:</w:t>
            </w:r>
          </w:p>
        </w:tc>
        <w:tc>
          <w:tcPr>
            <w:tcW w:type="dxa" w:w="4320"/>
          </w:tcPr>
          <w:p>
            <w:r>
              <w:t>Key competitors in Farm &amp; Heavy Construction Machinery sector</w:t>
            </w:r>
          </w:p>
        </w:tc>
      </w:tr>
    </w:tbl>
    <w:p>
      <w:pPr>
        <w:pStyle w:val="Heading1"/>
      </w:pPr>
      <w:r>
        <w:t>Recent Developments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Recent Acquisitions:</w:t>
            </w:r>
          </w:p>
        </w:tc>
        <w:tc>
          <w:tcPr>
            <w:tcW w:type="dxa" w:w="4320"/>
          </w:tcPr>
          <w:p>
            <w:r>
              <w:t>Recent acquisition activity being monitored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Launches:</w:t>
            </w:r>
          </w:p>
        </w:tc>
        <w:tc>
          <w:tcPr>
            <w:tcW w:type="dxa" w:w="4320"/>
          </w:tcPr>
          <w:p>
            <w:r>
              <w:t>New product launches and service offerings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Strategic Initiatives:</w:t>
            </w:r>
          </w:p>
        </w:tc>
        <w:tc>
          <w:tcPr>
            <w:tcW w:type="dxa" w:w="4320"/>
          </w:tcPr>
          <w:p>
            <w:r>
              <w:t>Digital transformation and market expansion initiatives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Regulatory Changes:</w:t>
            </w:r>
          </w:p>
        </w:tc>
        <w:tc>
          <w:tcPr>
            <w:tcW w:type="dxa" w:w="4320"/>
          </w:tcPr>
          <w:p>
            <w:r>
              <w:t>Monitoring regulatory developments in key markets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Market Developments:</w:t>
            </w:r>
          </w:p>
        </w:tc>
        <w:tc>
          <w:tcPr>
            <w:tcW w:type="dxa" w:w="4320"/>
          </w:tcPr>
          <w:p>
            <w:r>
              <w:t>Market trends and competitive landscape analysis</w:t>
            </w:r>
          </w:p>
        </w:tc>
      </w:tr>
    </w:tbl>
    <w:p>
      <w:pPr>
        <w:pStyle w:val="Heading1"/>
      </w:pPr>
      <w:r>
        <w:t>Investment Recommendation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Overall Rating:</w:t>
            </w:r>
          </w:p>
        </w:tc>
        <w:tc>
          <w:tcPr>
            <w:tcW w:type="dxa" w:w="4320"/>
          </w:tcPr>
          <w:p>
            <w:r>
              <w:t>HOLD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Price Target:</w:t>
            </w:r>
          </w:p>
        </w:tc>
        <w:tc>
          <w:tcPr>
            <w:tcW w:type="dxa" w:w="4320"/>
          </w:tcPr>
          <w:p>
            <w:r>
              <w:t>$51.57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Horizon:</w:t>
            </w:r>
          </w:p>
        </w:tc>
        <w:tc>
          <w:tcPr>
            <w:tcW w:type="dxa" w:w="4320"/>
          </w:tcPr>
          <w:p>
            <w:r>
              <w:t>12-18 months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Risk Assessment:</w:t>
            </w:r>
          </w:p>
        </w:tc>
        <w:tc>
          <w:tcPr>
            <w:tcW w:type="dxa" w:w="4320"/>
          </w:tcPr>
          <w:p>
            <w:r>
              <w:t>• High market volatility</w:t>
              <w:br/>
              <w:t>• High financial leverage</w:t>
            </w:r>
          </w:p>
        </w:tc>
      </w:tr>
    </w:tbl>
    <w:p/>
    <w:p>
      <w:pPr>
        <w:jc w:val="center"/>
      </w:pPr>
      <w:r>
        <w:t>Generated on: 2025-07-15 19:47:11</w:t>
      </w:r>
    </w:p>
    <w:p>
      <w:pPr>
        <w:jc w:val="center"/>
      </w:pPr>
      <w:r>
        <w:rPr>
          <w:i/>
          <w:sz w:val="12"/>
        </w:rPr>
        <w:t>This document was automatically generated using document automation tools.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