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New York, London, and Tel Aviv, 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December 31, 2022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led by a strong management team that has extensive experience leading technology and digital marketing</w:t>
              <w:br/>
              <w:t>companies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{{stock_symbol}}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$452.42M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$43.27K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94,862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$1.04B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$160.17M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{{shareholders_equity}}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{{roe}}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{{gross_margin}}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{{operating_margin}}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{{net_margin}}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{{current_ratio}}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{{debt_to_equity}}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{{pe_ratio}}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{{book_value_per_share}}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{{strengths_analysis}}</w:t>
      </w:r>
    </w:p>
    <w:p>
      <w:pPr>
        <w:pStyle w:val="Heading2"/>
      </w:pPr>
      <w:r>
        <w:t>Weaknesses</w:t>
      </w:r>
    </w:p>
    <w:p>
      <w:r>
        <w:t>{{weaknesses_analysis}}</w:t>
      </w:r>
    </w:p>
    <w:p>
      <w:pPr>
        <w:pStyle w:val="Heading2"/>
      </w:pPr>
      <w:r>
        <w:t>Opportunities</w:t>
      </w:r>
    </w:p>
    <w:p>
      <w:r>
        <w:t>{{opportunities_analysis}}</w:t>
      </w:r>
    </w:p>
    <w:p>
      <w:pPr>
        <w:pStyle w:val="Heading2"/>
      </w:pPr>
      <w:r>
        <w:t>Threats</w:t>
      </w:r>
    </w:p>
    <w:p>
      <w:r>
        <w:t>{{threats_analysis}}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{{market_cap}}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348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primarily responsible for providing these services to the customer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{{geographic_markets}}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insight into the nature and quality of ad-supported</w:t>
              <w:br/>
              <w:t>content on large, video-driven social platforms, such as Facebook, TikTok and YouTube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{{competitors}}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{{acquisitions}}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{{product_launches}}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{{strategic_initiatives}}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{{regulatory_changes}}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{{market_developments}}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{{overall_rating}}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{{price_target}}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{{investment_horizon}}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{{risk_assessment}}</w:t>
            </w:r>
          </w:p>
        </w:tc>
      </w:tr>
    </w:tbl>
    <w:p/>
    <w:p>
      <w:pPr>
        <w:jc w:val="center"/>
      </w:pPr>
      <w:r>
        <w:rPr>
          <w:i/>
          <w:sz w:val="12"/>
        </w:rPr>
        <w:t>Generated on: {{generation_date}}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