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DoubleVerify Holdings, Inc.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New York, New York and has wholly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December 31, 2022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risk that open source licenses</w:t>
              <w:br/>
              <w:t>could be construed in a manner that imposes unanticipated conditions or restrictions on our ability to provide our</w:t>
              <w:br/>
              <w:t>platform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DV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$452.42M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$43.27K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$159.66M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$1.04B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$160.17M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4.83%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82.25%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4.10%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7.55%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3.72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10.20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51.76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$6.35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• Strong liquidity with current ratio of 3.72</w:t>
        <w:br/>
        <w:t>• Positive revenue growth of 17.20%</w:t>
      </w:r>
    </w:p>
    <w:p>
      <w:pPr>
        <w:pStyle w:val="Heading2"/>
      </w:pPr>
      <w:r>
        <w:t>Weaknesses</w:t>
      </w:r>
    </w:p>
    <w:p>
      <w:r>
        <w:t>• High debt-to-equity ratio of 10.20</w:t>
      </w:r>
    </w:p>
    <w:p>
      <w:pPr>
        <w:pStyle w:val="Heading2"/>
      </w:pPr>
      <w:r>
        <w:t>Opportunities</w:t>
      </w:r>
    </w:p>
    <w:p>
      <w:r>
        <w:t>• Market expansion in emerging economies</w:t>
        <w:br/>
        <w:t>• Digital transformation initiatives</w:t>
        <w:br/>
        <w:t>• Strategic partnerships and alliances</w:t>
        <w:br/>
        <w:t>• New product development and innovation</w:t>
        <w:br/>
        <w:t>• Cost optimization and operational efficiency</w:t>
      </w:r>
    </w:p>
    <w:p>
      <w:pPr>
        <w:pStyle w:val="Heading2"/>
      </w:pPr>
      <w:r>
        <w:t>Threats</w:t>
      </w:r>
    </w:p>
    <w:p>
      <w:r>
        <w:t>• Increased competition in the market</w:t>
        <w:br/>
        <w:t>• Economic downturns and market volatility</w:t>
        <w:br/>
        <w:t>• Regulatory changes and compliance costs</w:t>
        <w:br/>
        <w:t>• Supply chain disruptions</w:t>
        <w:br/>
        <w:t>• Technological disruption and obsolescence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$2.44B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1,197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risk that open source licenses</w:t>
              <w:br/>
              <w:t>could be construed in a manner that imposes unanticipated conditions or restrictions on our ability to provide our</w:t>
              <w:br/>
              <w:t>platform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one reportable segment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Activation and Measurement solutions, including brand safety, fraud detection, viewability, and cross-platform measurement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Key competitors in Software - Application sector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Recent acquisition activity being monitored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New product launches and service offerings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Digital transformation and market expansion initiatives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Monitoring regulatory developments in key markets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Market trends and competitive landscape analysis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HOLD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$18.42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12-18 months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• High financial leverage</w:t>
            </w:r>
          </w:p>
        </w:tc>
      </w:tr>
    </w:tbl>
    <w:p/>
    <w:p>
      <w:pPr>
        <w:jc w:val="center"/>
      </w:pPr>
      <w:r>
        <w:t>Generated on: 2025-07-15 19:48:36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