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{{company_name}}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{{company_address}}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{{fiscal_year}}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{{industry}}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{{stock_symbol}}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{{revenue}}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{{net_income}}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{{operating_cash_flow}}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{{total_assets}}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{{total_liabilities}}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{{shareholders_equity}}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{{roe}}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{{gross_margin}}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{{operating_margin}}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{{net_margin}}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{{current_ratio}}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{{debt_to_equity}}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{{eps}}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{{pe_ratio}}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{{book_value_per_share}}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{{strengths_analysis}}</w:t>
      </w:r>
    </w:p>
    <w:p>
      <w:pPr>
        <w:pStyle w:val="Heading2"/>
      </w:pPr>
      <w:r>
        <w:t>Weaknesses</w:t>
      </w:r>
    </w:p>
    <w:p>
      <w:r>
        <w:t>{{weaknesses_analysis}}</w:t>
      </w:r>
    </w:p>
    <w:p>
      <w:pPr>
        <w:pStyle w:val="Heading2"/>
      </w:pPr>
      <w:r>
        <w:t>Opportunities</w:t>
      </w:r>
    </w:p>
    <w:p>
      <w:r>
        <w:t>{{opportunities_analysis}}</w:t>
      </w:r>
    </w:p>
    <w:p>
      <w:pPr>
        <w:pStyle w:val="Heading2"/>
      </w:pPr>
      <w:r>
        <w:t>Threats</w:t>
      </w:r>
    </w:p>
    <w:p>
      <w:r>
        <w:t>{{threats_analysis}}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{{market_cap}}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{{employees}}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{{primary_business}}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{{geographic_markets}}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{{key_products}}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{{competitors}}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{{acquisitions}}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{{product_launches}}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{{strategic_initiatives}}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{{regulatory_changes}}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{{market_developments}}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{{overall_rating}}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{{price_target}}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{{investment_horizon}}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{{risk_assessment}}</w:t>
            </w:r>
          </w:p>
        </w:tc>
      </w:tr>
    </w:tbl>
    <w:p/>
    <w:p>
      <w:pPr>
        <w:jc w:val="center"/>
      </w:pPr>
      <w:r>
        <w:rPr>
          <w:i/>
          <w:sz w:val="12"/>
        </w:rPr>
        <w:t>Generated on: {{generation_date}}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