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F"/>
          <w:sz w:val="32"/>
          <w:szCs w:val="32"/>
        </w:rPr>
        <w:t xml:space="preserve">WISER × Moderna Quantum Challenge</w:t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4-Week Execution Plan</w:t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Team: 2 Coders + 1 Biologist   |   Submission Deadline: August 7, 2026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1"/>
        <w:spacing w:after="150" w:before="300"/>
      </w:pPr>
      <w:r>
        <w:t xml:space="preserve">Team Roles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800"/>
      </w:tblGrid>
      <w:tr>
        <w:tc>
          <w:tcPr>
            <w:tcW w:type="dxa" w:w="2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18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Person</w:t>
            </w:r>
          </w:p>
        </w:tc>
        <w:tc>
          <w:tcPr>
            <w:tcW w:type="dxa" w:w="58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Primary Focus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Bio Lead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Biologist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Sequence selection, biological validity of constraints, background &amp; motivation writing, results interpretation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Coder A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Coder 1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Classical benchmark pipeline (ViennaRNA) + QUBO/Ising formulation + primary quantum method (VQE)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Coder B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Coder 2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Second quantum method (QAOA / annealing) + scaling &amp; resource analysis + noise experiments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Plan at a Glance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00"/>
        <w:gridCol w:w="5300"/>
      </w:tblGrid>
      <w:tr>
        <w:tc>
          <w:tcPr>
            <w:tcW w:type="dxa" w:w="1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Week</w:t>
            </w:r>
          </w:p>
        </w:tc>
        <w:tc>
          <w:tcPr>
            <w:tcW w:type="dxa" w:w="33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Focus</w:t>
            </w:r>
          </w:p>
        </w:tc>
        <w:tc>
          <w:tcPr>
            <w:tcW w:type="dxa" w:w="53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Key Deliverable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Background review + classical benchmark + formulation start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Benchmark table (ViennaRNA MFE for all test sequences) + draft QUBO formulation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Finalize formulation + implement on simulators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Working VQE and QAOA pipelines reproducing MFE on 2-3 short sequences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Scaling analysis + one optional task</w:t>
            </w:r>
          </w:p>
        </w:tc>
        <w:tc>
          <w:tcPr>
            <w:tcW w:type="dxa" w:w="5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Qubit/depth/runtime scaling table across sequence lengths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Submission package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Final code, report, and presentation submitted by Aug 7, 2026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t xml:space="preserve">Week 1 — Background Review, Classical Benchmark &amp; Formulation Start</w:t>
      </w:r>
    </w:p>
    <w:p>
      <w:pPr>
        <w:pStyle w:val="Heading2"/>
        <w:spacing w:after="100" w:before="200"/>
      </w:pPr>
      <w:r>
        <w:t xml:space="preserve">Bio Lead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the background summary: RNA secondary structure basics, why MFE matters for mRNA therapeutics (stability, translation efficiency, manufacturability), dot-bracket notation.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4-6 test sequences of increasing length (e.g. 10, 15, 20, 30 nt) — synthetic or public domain only, never proprietary or patient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valid pairing rules for the coders: Watson-Crick (A-U, G-C) + wobble (G-U), minimum hairpin loop size (≥3 unpaired nt), no self/adjacent pairing.</w:t>
      </w:r>
    </w:p>
    <w:p>
      <w:pPr>
        <w:pStyle w:val="Heading2"/>
        <w:spacing w:after="100" w:before="200"/>
      </w:pPr>
      <w:r>
        <w:t xml:space="preserve">Coders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ViennaRNA and reproduce MFE structures + energies for all test sequences — this is the ground-truth benchmark table used for every later comparison.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Begin drafting the QUBO formulation in parallel: binary variable x_ij per candidate base pair, objective = maximize weighted pair count, minus penalty terms for crossing pairs, overlapping pairs, and loop-length violations.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the draft QUBO by brute force on the smallest (10 nt) sequence to confirm its minimum matches (or closely approximates) the ViennaRNA MFE structure.</w:t>
      </w:r>
    </w:p>
    <w:p>
      <w:pPr>
        <w:spacing w:after="120"/>
      </w:pPr>
      <w:r>
        <w:t xml:space="preserve">End-of-week checkpoint: background write-up complete, classical benchmark table complete, QUBO formulation drafted and sanity-checked.</w:t>
      </w:r>
    </w:p>
    <w:p>
      <w:pPr>
        <w:pStyle w:val="Heading1"/>
        <w:spacing w:after="150" w:before="300"/>
      </w:pPr>
      <w:r>
        <w:t xml:space="preserve">Week 2 — Finalize Formulation &amp; Implement on Simulators</w:t>
      </w:r>
    </w:p>
    <w:p>
      <w:pPr>
        <w:pStyle w:val="Heading2"/>
        <w:spacing w:after="100" w:before="200"/>
      </w:pPr>
      <w:r>
        <w:t xml:space="preserve">Coder 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Finalize the QUBO/Ising mapping and implement CVaR-VQE with a two-local ansatz (the approach used in Moderna's own reference demo) on Qiskit or PennyLane.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on the 10 nt and 15 nt sequences; decode bitstring results back into dot-bracket notation and compare against ViennaRNA MFE (structure match + energy gap).</w:t>
      </w:r>
    </w:p>
    <w:p>
      <w:pPr>
        <w:pStyle w:val="Heading2"/>
        <w:spacing w:after="100" w:before="200"/>
      </w:pPr>
      <w:r>
        <w:t xml:space="preserve">Coder 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a second method in parallel — QAOA or a quantum-annealing formulation (D-Wave Ocean SDK) — on the same sequences, so two independent quantum results exist from day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the harness for recording qubit count, circuit depth, and runtime per run — needed for Week 3's scaling analysis.</w:t>
      </w:r>
    </w:p>
    <w:p>
      <w:pPr>
        <w:pStyle w:val="Heading2"/>
        <w:spacing w:after="100" w:before="200"/>
      </w:pPr>
      <w:r>
        <w:t xml:space="preserve">Bio Lead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discrepancies between quantum-predicted and MFE structures: distinguish biologically implausible errors from acceptable near-degenerate low-energy folds.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Draft the methodology section in plain language for the final report.</w:t>
      </w:r>
    </w:p>
    <w:p>
      <w:pPr>
        <w:spacing w:after="120"/>
      </w:pPr>
      <w:r>
        <w:t xml:space="preserve">End-of-week checkpoint: two independent quantum pipelines running end-to-end on short sequences with recorded accuracy and energy gaps.</w:t>
      </w:r>
    </w:p>
    <w:p>
      <w:pPr>
        <w:pStyle w:val="Heading1"/>
        <w:spacing w:after="150" w:before="300"/>
      </w:pPr>
      <w:r>
        <w:t xml:space="preserve">Week 3 — Scaling Analysis, Benchmarking &amp; Optional Task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both quantum methods across the full sequence-length ladder and record, for each: qubit count, circuit depth, number of QUBO variables, runtime, energy gap from MFE, and success rate.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Plot how each metric scales with sequence length — this resource-scaling analysis is one of the most heavily weighted judging criteria, so report degradation honestly rather than omitting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Pick one optional task only: </w:t>
      </w:r>
      <w:r>
        <w:t xml:space="preserve">the easiest high-value choice is documenting why pseudoknots are excluded (a paragraph on the non-crossing constraint); if two methods are already running, "compare multiple quantum encodings" is largely done and just needs writing up; a simple depolarizing noise model in Qiskit Aer is a good stretch goal if time allows.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Bio Lead cross-checks whether degradation at longer sequences reflects genuine algorithmic limits or fixable modeling issues, and folds this into the discussion section.</w:t>
      </w:r>
    </w:p>
    <w:p>
      <w:pPr>
        <w:spacing w:after="120"/>
      </w:pPr>
      <w:r>
        <w:t xml:space="preserve">End-of-week checkpoint: scaling table and plots complete across all test sequence lengths; one optional task addressed.</w:t>
      </w:r>
    </w:p>
    <w:p>
      <w:pPr>
        <w:pStyle w:val="Heading1"/>
        <w:spacing w:after="150" w:before="300"/>
      </w:pPr>
      <w:r>
        <w:t xml:space="preserve">Week 4 — Submission Package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Freeze code and clean up notebooks/scripts; confirm the repository runs top-to-bottom on a fresh environment (reproducibility is explicitly judged).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the final report jointly: problem framing → formulation → results → scaling analysis → limitations → future directions.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short presentation deck: methodology, key plots, and an honest limitations slide — judges reward clarity as much as raw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before August 7, 2026 with buffer time for last-minute repository or environment issues — there is no extension.</w:t>
      </w:r>
    </w:p>
    <w:p>
      <w:pPr>
        <w:pStyle w:val="Heading1"/>
        <w:spacing w:after="150" w:before="300"/>
      </w:pPr>
      <w:r>
        <w:t xml:space="preserve">Key Risks to Manage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QUBO size growth: </w:t>
      </w:r>
      <w:r>
        <w:t xml:space="preserve">the number of candidate pairs grows roughly O(n²), and constraint penalties add more terms. Keep sequences ≤20-30 nt until the pipeline is proven before attempting longer stretch-goal sequences.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Simulator limits: </w:t>
      </w:r>
      <w:r>
        <w:t xml:space="preserve">full statevector simulation becomes expensive past ~20-25 qubits. Budget simulator runtime accordingly, or restrict candidate pairs to a reasonable window rather than all O(n²) pairs.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Over-scoping optional tasks: </w:t>
      </w:r>
      <w:r>
        <w:t xml:space="preserve">core tasks 1-7 are weighted far more heavily in judging than the optional extensions — treat optional work as bonus only once the core pipeline is solid and documented.</w:t>
      </w:r>
    </w:p>
    <w:p>
      <w:pPr>
        <w:pStyle w:val="Heading1"/>
        <w:spacing w:after="150" w:before="300"/>
      </w:pPr>
      <w:r>
        <w:t xml:space="preserve">Immediate 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Bio Lead: finalize test sequences and pairing-rules document.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Coder A: install ViennaRNA and get the classical benchmark table running.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Coder B: install Qiskit/PennyLane and Ocean SDK; run a "hello world" VQE on a toy QUBO to confirm the environment works.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2026-07-06T13:39:45.953Z</dcterms:created>
  <dcterms:modified xsi:type="dcterms:W3CDTF">2026-07-06T13:39:45.954Z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