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26C48" w14:textId="77777777" w:rsidR="007A4E2F" w:rsidRPr="007A4E2F" w:rsidRDefault="007A4E2F" w:rsidP="007A4E2F">
      <w:pPr>
        <w:rPr>
          <w:b/>
          <w:bCs/>
        </w:rPr>
      </w:pPr>
      <w:r>
        <w:rPr>
          <w:b/>
          <w:bCs/>
        </w:rPr>
        <w:t>RNA Secondary Structure &amp; Thermodynamic Principles</w:t>
      </w:r>
    </w:p>
    <w:p w14:paraId="24B0C699" w14:textId="77777777" w:rsidR="007A4E2F" w:rsidRPr="007A4E2F" w:rsidRDefault="007A4E2F" w:rsidP="007A4E2F">
      <w:pPr>
        <w:rPr>
          <w:b/>
          <w:bCs/>
        </w:rPr>
      </w:pPr>
      <w:r>
        <w:rPr>
          <w:b/>
          <w:bCs/>
        </w:rPr>
        <w:t>1. Fundamentals of RNA Secondary Structure</w:t>
      </w:r>
    </w:p>
    <w:p w14:paraId="2CBF9727" w14:textId="77777777" w:rsidR="007A4E2F" w:rsidRPr="007A4E2F" w:rsidRDefault="007A4E2F" w:rsidP="007A4E2F">
      <w:r>
        <w:t xml:space="preserve">RNA is a single-stranded nucleic acid composed of four primary nucleotides: </w:t>
      </w:r>
      <w:r>
        <w:rPr>
          <w:b/>
          <w:bCs/>
        </w:rPr>
        <w:t>Adenine (A)</w:t>
      </w:r>
      <w:r>
        <w:t xml:space="preserve">, </w:t>
      </w:r>
      <w:r>
        <w:rPr>
          <w:b/>
          <w:bCs/>
        </w:rPr>
        <w:t>Cytosine (C)</w:t>
      </w:r>
      <w:r>
        <w:t xml:space="preserve">, </w:t>
      </w:r>
      <w:r>
        <w:rPr>
          <w:b/>
          <w:bCs/>
        </w:rPr>
        <w:t>Guanine (G)</w:t>
      </w:r>
      <w:r>
        <w:t xml:space="preserve">, and </w:t>
      </w:r>
      <w:r>
        <w:rPr>
          <w:b/>
          <w:bCs/>
        </w:rPr>
        <w:t>Uracil (U)</w:t>
      </w:r>
      <w:r>
        <w:t>. Unlike double-stranded DNA, single-stranded RNA folds back onto itself to form stable three-dimensional architectures driven by base-pairing interactions.</w:t>
      </w:r>
    </w:p>
    <w:p w14:paraId="4D167627" w14:textId="77777777" w:rsidR="007A4E2F" w:rsidRPr="007A4E2F" w:rsidRDefault="007A4E2F" w:rsidP="007A4E2F">
      <w:pPr>
        <w:rPr>
          <w:b/>
          <w:bCs/>
        </w:rPr>
      </w:pPr>
      <w:r>
        <w:rPr>
          <w:b/>
          <w:bCs/>
        </w:rPr>
        <w:t>Base Pairing Categories:</w:t>
      </w:r>
    </w:p>
    <w:p w14:paraId="71BF9ED7" w14:textId="77777777" w:rsidR="007A4E2F" w:rsidRPr="007A4E2F" w:rsidRDefault="007A4E2F" w:rsidP="007A4E2F">
      <w:pPr>
        <w:numPr>
          <w:ilvl w:val="0"/>
          <w:numId w:val="1"/>
        </w:numPr>
      </w:pPr>
      <w:r>
        <w:rPr>
          <w:b/>
          <w:bCs/>
        </w:rPr>
        <w:t>Canonical Watson-Crick Pairs:</w:t>
      </w:r>
      <w:r>
        <w:t xml:space="preserve"> Strong hydrogen-bonded interactions between </w:t>
      </w:r>
      <w:r>
        <w:rPr>
          <w:b/>
          <w:bCs/>
        </w:rPr>
        <w:t>G-C</w:t>
      </w:r>
      <w:r>
        <w:t xml:space="preserve"> (3 hydrogen bonds) and </w:t>
      </w:r>
      <w:r>
        <w:rPr>
          <w:b/>
          <w:bCs/>
        </w:rPr>
        <w:t>A-U</w:t>
      </w:r>
      <w:r>
        <w:t xml:space="preserve"> (2 hydrogen bonds).</w:t>
      </w:r>
    </w:p>
    <w:p w14:paraId="5F3D94CA" w14:textId="77777777" w:rsidR="007A4E2F" w:rsidRPr="007A4E2F" w:rsidRDefault="007A4E2F" w:rsidP="007A4E2F">
      <w:pPr>
        <w:numPr>
          <w:ilvl w:val="0"/>
          <w:numId w:val="1"/>
        </w:numPr>
      </w:pPr>
      <w:r>
        <w:rPr>
          <w:b/>
          <w:bCs/>
        </w:rPr>
        <w:t>Wobble Base Pairs:</w:t>
      </w:r>
      <w:r>
        <w:t xml:space="preserve"> Non-canonical </w:t>
      </w:r>
      <w:r>
        <w:rPr>
          <w:b/>
          <w:bCs/>
        </w:rPr>
        <w:t>G-U</w:t>
      </w:r>
      <w:r>
        <w:t xml:space="preserve"> interactions (2 hydrogen bonds) that play crucial structural and recognition roles in RNA folding dynamics.</w:t>
      </w:r>
    </w:p>
    <w:p w14:paraId="5881FECB" w14:textId="77777777" w:rsidR="007A4E2F" w:rsidRPr="007A4E2F" w:rsidRDefault="007A4E2F" w:rsidP="007A4E2F">
      <w:pPr>
        <w:rPr>
          <w:b/>
          <w:bCs/>
        </w:rPr>
      </w:pPr>
      <w:r>
        <w:rPr>
          <w:b/>
          <w:bCs/>
        </w:rPr>
        <w:t>Structural Elements:</w:t>
      </w:r>
    </w:p>
    <w:p w14:paraId="0E18A3CA" w14:textId="77777777" w:rsidR="007A4E2F" w:rsidRPr="007A4E2F" w:rsidRDefault="007A4E2F" w:rsidP="007A4E2F">
      <w:pPr>
        <w:numPr>
          <w:ilvl w:val="0"/>
          <w:numId w:val="2"/>
        </w:numPr>
      </w:pPr>
      <w:r>
        <w:rPr>
          <w:b/>
          <w:bCs/>
        </w:rPr>
        <w:t>Stems / Helices:</w:t>
      </w:r>
      <w:r>
        <w:t xml:space="preserve"> Contiguous regions of stacked, hydrogen-bonded base pairs.</w:t>
      </w:r>
    </w:p>
    <w:p w14:paraId="62504164" w14:textId="77777777" w:rsidR="007A4E2F" w:rsidRPr="007A4E2F" w:rsidRDefault="007A4E2F" w:rsidP="007A4E2F">
      <w:pPr>
        <w:numPr>
          <w:ilvl w:val="0"/>
          <w:numId w:val="2"/>
        </w:numPr>
      </w:pPr>
      <w:r>
        <w:rPr>
          <w:b/>
          <w:bCs/>
        </w:rPr>
        <w:t>Hairpin Loops:</w:t>
      </w:r>
      <w:r>
        <w:t xml:space="preserve"> Unpaired regions enclosed by a single terminal base pair. Steric constraints require a minimum loop size of at least </w:t>
      </w:r>
      <w:r>
        <w:rPr>
          <w:b/>
          <w:bCs/>
        </w:rPr>
        <w:t>3 unpaired nucleotides</w:t>
      </w:r>
      <w:r>
        <w:t>.</w:t>
      </w:r>
    </w:p>
    <w:p w14:paraId="3BE97E55" w14:textId="77777777" w:rsidR="007A4E2F" w:rsidRPr="007A4E2F" w:rsidRDefault="007A4E2F" w:rsidP="007A4E2F">
      <w:pPr>
        <w:numPr>
          <w:ilvl w:val="0"/>
          <w:numId w:val="2"/>
        </w:numPr>
      </w:pPr>
      <w:r>
        <w:rPr>
          <w:b/>
          <w:bCs/>
        </w:rPr>
        <w:t>Internal Loops &amp; Bulges:</w:t>
      </w:r>
      <w:r>
        <w:t xml:space="preserve"> Unpaired bases interrupting helical regions on both or one strand, respectively.</w:t>
      </w:r>
    </w:p>
    <w:p w14:paraId="07A05707" w14:textId="77777777" w:rsidR="007A4E2F" w:rsidRPr="007A4E2F" w:rsidRDefault="007A4E2F" w:rsidP="007A4E2F">
      <w:pPr>
        <w:numPr>
          <w:ilvl w:val="0"/>
          <w:numId w:val="2"/>
        </w:numPr>
      </w:pPr>
      <w:r>
        <w:rPr>
          <w:b/>
          <w:bCs/>
        </w:rPr>
        <w:t>Multi-branch Loops:</w:t>
      </w:r>
      <w:r>
        <w:t xml:space="preserve"> Junctions where three or more helices meet.</w:t>
      </w:r>
    </w:p>
    <w:p w14:paraId="3F91C1A7" w14:textId="77777777" w:rsidR="007A4E2F" w:rsidRPr="007A4E2F" w:rsidRDefault="007A4E2F" w:rsidP="007A4E2F">
      <w:pPr>
        <w:rPr>
          <w:b/>
          <w:bCs/>
        </w:rPr>
      </w:pPr>
      <w:r>
        <w:rPr>
          <w:b/>
          <w:bCs/>
        </w:rPr>
        <w:t>2. Minimum Free Energy (MFE) &amp; Thermodynamics</w:t>
      </w:r>
    </w:p>
    <w:p w14:paraId="55BEFBC8" w14:textId="2D43668E" w:rsidR="007A4E2F" w:rsidRPr="007A4E2F" w:rsidRDefault="007A4E2F" w:rsidP="007A4E2F">
      <w:r>
        <w:t xml:space="preserve">Under physiological conditions, RNA molecules dynamically adopt conformations that minimize the overall </w:t>
      </w:r>
      <w:r>
        <w:rPr>
          <w:b/>
          <w:bCs/>
        </w:rPr>
        <w:t>Gibbs Free Energy (∆G)</w:t>
      </w:r>
      <w:r>
        <w:t xml:space="preserve">. The state with the lowest total free energy is termed the </w:t>
      </w:r>
      <w:r>
        <w:rPr>
          <w:b/>
          <w:bCs/>
        </w:rPr>
        <w:t>Minimum Free Energy (MFE)</w:t>
      </w:r>
      <w:r>
        <w:t xml:space="preserve"> structure.</w:t>
      </w:r>
    </w:p>
    <w:p w14:paraId="1ACE18E0" w14:textId="77777777" w:rsidR="007A4E2F" w:rsidRPr="007A4E2F" w:rsidRDefault="007A4E2F" w:rsidP="007A4E2F">
      <w:r>
        <w:t xml:space="preserve">In computational biophysics, MFE prediction typically relies on </w:t>
      </w:r>
      <w:r>
        <w:rPr>
          <w:b/>
          <w:bCs/>
        </w:rPr>
        <w:t>Turner’s Nearest-Neighbor Thermodynamic Model</w:t>
      </w:r>
      <w:r>
        <w:t>, where total free energy is calculated as the sum of local stacking interactions and loop entropy penalties:</w:t>
      </w:r>
    </w:p>
    <w:p w14:paraId="39BED55A" w14:textId="78895AEF" w:rsidR="007A4E2F" w:rsidRPr="007A4E2F" w:rsidRDefault="007A4E2F" w:rsidP="007A4E2F">
      <w:r>
        <w:rPr>
          <w:b/>
          <w:bCs/>
        </w:rPr>
        <w:t>∆G total = sum(∆G stacking) + sum(∆G loops)</w:t>
      </w:r>
    </w:p>
    <w:p w14:paraId="020D3A6C" w14:textId="77777777" w:rsidR="007A4E2F" w:rsidRPr="007A4E2F" w:rsidRDefault="007A4E2F" w:rsidP="007A4E2F">
      <w:pPr>
        <w:rPr>
          <w:b/>
          <w:bCs/>
        </w:rPr>
      </w:pPr>
      <w:r>
        <w:rPr>
          <w:b/>
          <w:bCs/>
        </w:rPr>
        <w:t>3. Critical Importance of MFE in mRNA Therapeutics</w:t>
      </w:r>
    </w:p>
    <w:p w14:paraId="5086FB74" w14:textId="77777777" w:rsidR="007A4E2F" w:rsidRPr="007A4E2F" w:rsidRDefault="007A4E2F" w:rsidP="007A4E2F">
      <w:r>
        <w:t>For mRNA-based therapies and vaccines (e.g., lipid nanoparticle-encapsulated mRNA), structural stability directly dictates therapeutic efficacy:</w:t>
      </w:r>
    </w:p>
    <w:p w14:paraId="65697026" w14:textId="77777777" w:rsidR="007A4E2F" w:rsidRPr="007A4E2F" w:rsidRDefault="007A4E2F" w:rsidP="007A4E2F">
      <w:pPr>
        <w:numPr>
          <w:ilvl w:val="0"/>
          <w:numId w:val="3"/>
        </w:numPr>
      </w:pPr>
      <w:r>
        <w:rPr>
          <w:b/>
          <w:bCs/>
        </w:rPr>
        <w:t>In Vivo Stability &amp; Degradation Resistance:</w:t>
      </w:r>
    </w:p>
    <w:p w14:paraId="19005EF0" w14:textId="77777777" w:rsidR="007A4E2F" w:rsidRPr="007A4E2F" w:rsidRDefault="007A4E2F" w:rsidP="007A4E2F">
      <w:pPr>
        <w:numPr>
          <w:ilvl w:val="1"/>
          <w:numId w:val="3"/>
        </w:numPr>
      </w:pPr>
      <w:r>
        <w:t>Unstructured, single-stranded RNA regions are vulnerable to endonucleolytic cleavage by cellular RNases.</w:t>
      </w:r>
    </w:p>
    <w:p w14:paraId="3E46DDB4" w14:textId="77777777" w:rsidR="007A4E2F" w:rsidRPr="007A4E2F" w:rsidRDefault="007A4E2F" w:rsidP="007A4E2F">
      <w:pPr>
        <w:numPr>
          <w:ilvl w:val="1"/>
          <w:numId w:val="3"/>
        </w:numPr>
      </w:pPr>
      <w:r>
        <w:lastRenderedPageBreak/>
        <w:t>Optimizing MFE towards stable helical conformations increases overall mRNA half-life and duration of protein expression.</w:t>
      </w:r>
    </w:p>
    <w:p w14:paraId="3FB404ED" w14:textId="77777777" w:rsidR="007A4E2F" w:rsidRPr="007A4E2F" w:rsidRDefault="007A4E2F" w:rsidP="007A4E2F">
      <w:pPr>
        <w:numPr>
          <w:ilvl w:val="0"/>
          <w:numId w:val="3"/>
        </w:numPr>
      </w:pPr>
      <w:r>
        <w:rPr>
          <w:b/>
          <w:bCs/>
        </w:rPr>
        <w:t>Translation Efficiency:</w:t>
      </w:r>
    </w:p>
    <w:p w14:paraId="782DDD53" w14:textId="77777777" w:rsidR="007A4E2F" w:rsidRPr="007A4E2F" w:rsidRDefault="007A4E2F" w:rsidP="007A4E2F">
      <w:pPr>
        <w:numPr>
          <w:ilvl w:val="1"/>
          <w:numId w:val="3"/>
        </w:numPr>
      </w:pPr>
      <w:r>
        <w:t>Excessive structural rigidity in the 5' Untranslated Region (5' UTR) or around the translation initiation site blocks ribosome loading.</w:t>
      </w:r>
    </w:p>
    <w:p w14:paraId="1290A234" w14:textId="5B328B8D" w:rsidR="007A4E2F" w:rsidRPr="007A4E2F" w:rsidRDefault="007A4E2F" w:rsidP="007A4E2F">
      <w:pPr>
        <w:numPr>
          <w:ilvl w:val="1"/>
          <w:numId w:val="3"/>
        </w:numPr>
      </w:pPr>
      <w:r>
        <w:t xml:space="preserve">Balancing thermodynamic stability (low </w:t>
      </w:r>
      <w:r>
        <w:rPr>
          <w:b/>
          <w:bCs/>
        </w:rPr>
        <w:t>∆G</w:t>
      </w:r>
      <w:r>
        <w:t xml:space="preserve"> in the coding sequence) with localized structural accessibility optimizes translational throughput.</w:t>
      </w:r>
    </w:p>
    <w:p w14:paraId="51AB71D7" w14:textId="77777777" w:rsidR="007A4E2F" w:rsidRPr="007A4E2F" w:rsidRDefault="007A4E2F" w:rsidP="007A4E2F">
      <w:pPr>
        <w:numPr>
          <w:ilvl w:val="0"/>
          <w:numId w:val="3"/>
        </w:numPr>
      </w:pPr>
      <w:r>
        <w:rPr>
          <w:b/>
          <w:bCs/>
        </w:rPr>
        <w:t>Manufacturability &amp; Storage:</w:t>
      </w:r>
    </w:p>
    <w:p w14:paraId="393B33DA" w14:textId="77777777" w:rsidR="007A4E2F" w:rsidRPr="007A4E2F" w:rsidRDefault="007A4E2F" w:rsidP="007A4E2F">
      <w:pPr>
        <w:numPr>
          <w:ilvl w:val="1"/>
          <w:numId w:val="3"/>
        </w:numPr>
      </w:pPr>
      <w:r>
        <w:t xml:space="preserve">Uncontrolled secondary structures cause misfolding or inter-molecular aggregation during </w:t>
      </w:r>
      <w:r>
        <w:rPr>
          <w:i/>
          <w:iCs/>
        </w:rPr>
        <w:t>in vitro</w:t>
      </w:r>
      <w:r>
        <w:t xml:space="preserve"> transcription (IVT).</w:t>
      </w:r>
    </w:p>
    <w:p w14:paraId="2F40F781" w14:textId="77777777" w:rsidR="007A4E2F" w:rsidRPr="007A4E2F" w:rsidRDefault="007A4E2F" w:rsidP="007A4E2F">
      <w:pPr>
        <w:numPr>
          <w:ilvl w:val="1"/>
          <w:numId w:val="3"/>
        </w:numPr>
      </w:pPr>
      <w:r>
        <w:t>Thermodynamically stable mRNA designs maintain structural integrity across storage and delivery conditions.</w:t>
      </w:r>
    </w:p>
    <w:p w14:paraId="16234EE7" w14:textId="77777777" w:rsidR="007A4E2F" w:rsidRPr="007A4E2F" w:rsidRDefault="007A4E2F" w:rsidP="007A4E2F">
      <w:pPr>
        <w:rPr>
          <w:b/>
          <w:bCs/>
        </w:rPr>
      </w:pPr>
      <w:r>
        <w:rPr>
          <w:b/>
          <w:bCs/>
        </w:rPr>
        <w:t>4. Dot-Bracket Notation</w:t>
      </w:r>
    </w:p>
    <w:p w14:paraId="6396A837" w14:textId="77777777" w:rsidR="007A4E2F" w:rsidRPr="007A4E2F" w:rsidRDefault="007A4E2F" w:rsidP="007A4E2F">
      <w:r>
        <w:t>Dot-Bracket Notation is a standard string-based representation of RNA secondary structures:</w:t>
      </w:r>
    </w:p>
    <w:p w14:paraId="25C03DF1" w14:textId="77777777" w:rsidR="007A4E2F" w:rsidRPr="007A4E2F" w:rsidRDefault="007A4E2F" w:rsidP="007A4E2F">
      <w:pPr>
        <w:numPr>
          <w:ilvl w:val="0"/>
          <w:numId w:val="4"/>
        </w:numPr>
      </w:pPr>
      <w:r>
        <w:rPr>
          <w:b/>
          <w:bCs/>
        </w:rPr>
        <w:t>Unpaired Nucleotide:</w:t>
      </w:r>
      <w:r>
        <w:t xml:space="preserve"> Represented by a period (.).</w:t>
      </w:r>
    </w:p>
    <w:p w14:paraId="5B1518F8" w14:textId="77777777" w:rsidR="007A4E2F" w:rsidRPr="007A4E2F" w:rsidRDefault="007A4E2F" w:rsidP="007A4E2F">
      <w:pPr>
        <w:numPr>
          <w:ilvl w:val="0"/>
          <w:numId w:val="4"/>
        </w:numPr>
      </w:pPr>
      <w:r>
        <w:rPr>
          <w:b/>
          <w:bCs/>
        </w:rPr>
        <w:t>Base-Paired Nucleotide:</w:t>
      </w:r>
      <w:r>
        <w:t xml:space="preserve"> Represented by matching opening (() and closing ()) parentheses.</w:t>
      </w:r>
    </w:p>
    <w:p w14:paraId="536BDACD" w14:textId="77777777" w:rsidR="007A4E2F" w:rsidRPr="007A4E2F" w:rsidRDefault="007A4E2F" w:rsidP="007A4E2F">
      <w:pPr>
        <w:rPr>
          <w:b/>
          <w:bCs/>
        </w:rPr>
      </w:pPr>
      <w:r>
        <w:rPr>
          <w:b/>
          <w:bCs/>
        </w:rPr>
        <w:t>Examples:</w:t>
      </w:r>
    </w:p>
    <w:p w14:paraId="6BB5DC36" w14:textId="77777777" w:rsidR="007A4E2F" w:rsidRPr="007A4E2F" w:rsidRDefault="007A4E2F" w:rsidP="007A4E2F">
      <w:pPr>
        <w:numPr>
          <w:ilvl w:val="0"/>
          <w:numId w:val="5"/>
        </w:numPr>
      </w:pPr>
      <w:r>
        <w:rPr>
          <w:b/>
          <w:bCs/>
        </w:rPr>
        <w:t>Unfolded Strand (10 nt):</w:t>
      </w:r>
      <w:r>
        <w:t xml:space="preserve"> ..........</w:t>
      </w:r>
    </w:p>
    <w:p w14:paraId="3ACDF97B" w14:textId="77777777" w:rsidR="007A4E2F" w:rsidRPr="007A4E2F" w:rsidRDefault="007A4E2F" w:rsidP="007A4E2F">
      <w:pPr>
        <w:numPr>
          <w:ilvl w:val="0"/>
          <w:numId w:val="5"/>
        </w:numPr>
      </w:pPr>
      <w:r>
        <w:rPr>
          <w:b/>
          <w:bCs/>
        </w:rPr>
        <w:t>Simple Hairpin Loop (10 nt):</w:t>
      </w:r>
      <w:r>
        <w:t xml:space="preserve"> (((...)))</w:t>
      </w:r>
    </w:p>
    <w:p w14:paraId="0AE8B2E3" w14:textId="77777777" w:rsidR="007A4E2F" w:rsidRPr="007A4E2F" w:rsidRDefault="007A4E2F" w:rsidP="007A4E2F">
      <w:pPr>
        <w:numPr>
          <w:ilvl w:val="1"/>
          <w:numId w:val="5"/>
        </w:numPr>
      </w:pPr>
      <w:r>
        <w:t>Bases at positions 1, 2, and 3 pair with positions 10, 9, and 8, respectively.</w:t>
      </w:r>
    </w:p>
    <w:p w14:paraId="1C64C0F8" w14:textId="6F891319" w:rsidR="00622B75" w:rsidRPr="00622B75" w:rsidRDefault="007A4E2F" w:rsidP="00622B75">
      <w:pPr>
        <w:numPr>
          <w:ilvl w:val="1"/>
          <w:numId w:val="5"/>
        </w:numPr>
      </w:pPr>
      <w:r>
        <w:t>Bases at positions 4, 5, 6, and 7 form a 4-nucleotide unpaired loop.</w:t>
      </w:r>
    </w:p>
    <w:p>
      <w:pPr>
        <w:rPr>
          <w:b/>
          <w:bCs/>
        </w:rPr>
      </w:pPr>
      <w:r>
        <w:rPr>
          <w:b/>
          <w:bCs/>
        </w:rPr>
        <w:t>5. The Computational Challenge</w:t>
      </w:r>
    </w:p>
    <w:p>
      <w:r>
        <w:t xml:space="preserve">The number of possible secondary structures for an RNA sequence grows combinatorially with length -- roughly on the order of a Catalan-number sequence for nested (non-crossing) pairings alone -- so exhaustively enumerating and scoring every fold is only feasible for the shortest sequences and quickly becomes intractable as length increases.</w:t>
      </w:r>
    </w:p>
    <w:p>
      <w:r>
        <w:t xml:space="preserve">Classical tools such as ViennaRNA avoid brute-force enumeration by using dynamic programming (Zuker's algorithm) under the nearest-neighbor thermodynamic model, which finds the guaranteed MFE structure in polynomial time (roughly O(n^3) time, O(n^2) space). This efficiency depends on assuming no pseudoknots (no crossing base pairs) -- once pseudoknots or additional structural constraints are allowed, the clean recursive substructure the DP relies on breaks down, and exact folding becomes NP-hard in general.</w:t>
      </w:r>
    </w:p>
    <w:p>
      <w:r>
        <w:t xml:space="preserve">This project reframes RNA folding as a discrete combinatorial optimization problem instead of a DP recursion: candidate structures are scored by a QUBO (Quadratic Unconstrained Binary Optimization) objective rather than the Zuker recursion. This trades the polynomial guarantee of classical DP for a formulation that (a) can, in principle, be extended to richer constraints such as pseudoknots without breaking an algorithmic assumption, and (b) can be handed to general-purpose optimizers -- including quantum ones -- that search the same combinatorial landscape a different way.</w:t>
      </w:r>
    </w:p>
    <w:p>
      <w:pPr>
        <w:rPr>
          <w:b/>
          <w:bCs/>
        </w:rPr>
      </w:pPr>
      <w:r>
        <w:rPr>
          <w:b/>
          <w:bCs/>
        </w:rPr>
        <w:t>6. Proposed Quantum Approach</w:t>
      </w:r>
    </w:p>
    <w:p>
      <w:r>
        <w:t xml:space="preserve">Each candidate base pair (i, j) is represented as a binary decision variable (1 = paired, 0 = unpaired). Watson-Crick and wobble (G-U) pairing rules, a minimum hairpin loop size, and penalties for conflicting or crossing pairs are all encoded as quadratic penalty terms in a single QUBO objective, so that the lowest-energy bitstring corresponds to a valid candidate secondary structure. This QUBO is then handed to two independent, PennyLane-based quantum optimization methods, run side by side for comparison:</w:t>
      </w:r>
    </w:p>
    <w:p>
      <w:pPr>
        <w:numPr>
          <w:ilvl w:val="0"/>
          <w:numId w:val="2"/>
        </w:numPr>
      </w:pPr>
      <w:r>
        <w:rPr>
          <w:b/>
          <w:bCs/>
        </w:rPr>
        <w:t>QAOA (Quantum Approximate Optimization Algorithm):</w:t>
      </w:r>
      <w:r>
        <w:t xml:space="preserve"> alternates problem and mixer Hamiltonians across parameterized circuit layers, with the layer parameters tuned by gradient-based classical optimization.</w:t>
      </w:r>
    </w:p>
    <w:p>
      <w:pPr>
        <w:numPr>
          <w:ilvl w:val="0"/>
          <w:numId w:val="2"/>
        </w:numPr>
      </w:pPr>
      <w:r>
        <w:rPr>
          <w:b/>
          <w:bCs/>
        </w:rPr>
        <w:t>CVaR-VQE (Conditional-Value-at-Risk Variational Quantum Eigensolver):</w:t>
      </w:r>
      <w:r>
        <w:t xml:space="preserve"> a two-local variational ansatz optimized against a risk-aware CVaR objective (which focuses on the best-performing tail of the measured samples rather than the full distribution), tuned with the derivative-free COBYLA optimizer.</w:t>
      </w:r>
    </w:p>
    <w:p>
      <w:r>
        <w:t xml:space="preserve">Both methods are run as circuit simulations (statevector, and density-matrix for noise studies) rather than on physical quantum hardware. Their output bitstrings are decoded back into dot-bracket notation and evaluated two ways: against the QUBO's own optimum (did the optimizer solve the QUBO it was given), and against ViennaRNA's real thermodynamic MFE structure using base-pair precision/recall/F1 (did solving the QUBO actually recover the true biological fold).</w:t>
      </w:r>
    </w:p>
    <w:sectPr w:rsidR="00622B75" w:rsidRPr="00622B75" w:rsidSect="009A658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122C4"/>
    <w:multiLevelType w:val="multilevel"/>
    <w:tmpl w:val="CA72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E540F"/>
    <w:multiLevelType w:val="multilevel"/>
    <w:tmpl w:val="102A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5273A"/>
    <w:multiLevelType w:val="multilevel"/>
    <w:tmpl w:val="24F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52FDA"/>
    <w:multiLevelType w:val="multilevel"/>
    <w:tmpl w:val="E580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12CC1"/>
    <w:multiLevelType w:val="multilevel"/>
    <w:tmpl w:val="29B8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424913">
    <w:abstractNumId w:val="1"/>
  </w:num>
  <w:num w:numId="2" w16cid:durableId="2094819360">
    <w:abstractNumId w:val="0"/>
  </w:num>
  <w:num w:numId="3" w16cid:durableId="733695834">
    <w:abstractNumId w:val="3"/>
  </w:num>
  <w:num w:numId="4" w16cid:durableId="204829652">
    <w:abstractNumId w:val="4"/>
  </w:num>
  <w:num w:numId="5" w16cid:durableId="579876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2F"/>
    <w:rsid w:val="001B58E6"/>
    <w:rsid w:val="00225DA6"/>
    <w:rsid w:val="00321798"/>
    <w:rsid w:val="003C10C8"/>
    <w:rsid w:val="00622B75"/>
    <w:rsid w:val="006C02D7"/>
    <w:rsid w:val="007A4E2F"/>
    <w:rsid w:val="008D4EF0"/>
    <w:rsid w:val="009A658C"/>
    <w:rsid w:val="00DD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617E"/>
  <w15:chartTrackingRefBased/>
  <w15:docId w15:val="{BBB53E36-71B7-4B84-8E57-F91F1DC2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E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SREENEHA NARAYANAM</dc:creator>
  <cp:keywords/>
  <dc:description/>
  <cp:lastModifiedBy>Srijahnavi Chinthalapudi</cp:lastModifiedBy>
  <cp:revision>2</cp:revision>
  <dcterms:created xsi:type="dcterms:W3CDTF">2026-07-29T04:43:00Z</dcterms:created>
  <dcterms:modified xsi:type="dcterms:W3CDTF">2026-07-29T10:29:00Z</dcterms:modified>
</cp:coreProperties>
</file>