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rFonts w:ascii="Cambria" w:cs="Cambria" w:eastAsia="Cambria" w:hAnsi="Cambria"/>
        </w:rPr>
      </w:pPr>
      <w:r w:rsidDel="00000000" w:rsidR="00000000" w:rsidRPr="00000000">
        <w:rPr>
          <w:rtl w:val="0"/>
        </w:rPr>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Student Name: </w:t>
            </w:r>
            <w:r w:rsidDel="00000000" w:rsidR="00000000" w:rsidRPr="00000000">
              <w:rPr>
                <w:rFonts w:ascii="Cambria" w:cs="Cambria" w:eastAsia="Cambria" w:hAnsi="Cambria"/>
                <w:rtl w:val="0"/>
              </w:rPr>
              <w:t xml:space="preserve">Ryan Tang</w:t>
            </w:r>
          </w:p>
        </w:tc>
      </w:tr>
    </w:tbl>
    <w:p w:rsidR="00000000" w:rsidDel="00000000" w:rsidP="00000000" w:rsidRDefault="00000000" w:rsidRPr="00000000" w14:paraId="00000003">
      <w:pPr>
        <w:pageBreakBefore w:val="0"/>
        <w:rPr>
          <w:rFonts w:ascii="Cambria" w:cs="Cambria" w:eastAsia="Cambria" w:hAnsi="Cambria"/>
        </w:rPr>
      </w:pPr>
      <w:r w:rsidDel="00000000" w:rsidR="00000000" w:rsidRPr="00000000">
        <w:rPr>
          <w:rtl w:val="0"/>
        </w:rPr>
      </w:r>
    </w:p>
    <w:tbl>
      <w:tblPr>
        <w:tblStyle w:val="Table2"/>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6"/>
        <w:tblGridChange w:id="0">
          <w:tblGrid>
            <w:gridCol w:w="9026"/>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b w:val="1"/>
                <w:rtl w:val="0"/>
              </w:rPr>
              <w:t xml:space="preserve">Motion:</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rtl w:val="0"/>
              </w:rPr>
              <w:t xml:space="preserve">This House Would hold schools liable for instances of severe bullying among their student body</w:t>
            </w:r>
            <w:r w:rsidDel="00000000" w:rsidR="00000000" w:rsidRPr="00000000">
              <w:rPr>
                <w:rtl w:val="0"/>
              </w:rPr>
            </w:r>
          </w:p>
        </w:tc>
      </w:tr>
    </w:tbl>
    <w:p w:rsidR="00000000" w:rsidDel="00000000" w:rsidP="00000000" w:rsidRDefault="00000000" w:rsidRPr="00000000" w14:paraId="00000005">
      <w:pPr>
        <w:pageBreakBefore w:val="0"/>
        <w:rPr>
          <w:rFonts w:ascii="Cambria" w:cs="Cambria" w:eastAsia="Cambria" w:hAnsi="Cambria"/>
        </w:rPr>
      </w:pPr>
      <w:r w:rsidDel="00000000" w:rsidR="00000000" w:rsidRPr="00000000">
        <w:rPr>
          <w:rtl w:val="0"/>
        </w:rPr>
      </w:r>
    </w:p>
    <w:tbl>
      <w:tblPr>
        <w:tblStyle w:val="Table3"/>
        <w:tblW w:w="1053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45"/>
        <w:gridCol w:w="660"/>
        <w:gridCol w:w="525"/>
        <w:gridCol w:w="525"/>
        <w:gridCol w:w="525"/>
        <w:gridCol w:w="525"/>
        <w:gridCol w:w="525"/>
        <w:tblGridChange w:id="0">
          <w:tblGrid>
            <w:gridCol w:w="7245"/>
            <w:gridCol w:w="660"/>
            <w:gridCol w:w="525"/>
            <w:gridCol w:w="525"/>
            <w:gridCol w:w="525"/>
            <w:gridCol w:w="525"/>
            <w:gridCol w:w="525"/>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spoke for the duration of the specified time frame.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offered and/or accepted a point of information relevant to the 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w:t>
            </w:r>
            <w:r w:rsidDel="00000000" w:rsidR="00000000" w:rsidRPr="00000000">
              <w:rPr>
                <w:rFonts w:ascii="Cambria" w:cs="Cambria" w:eastAsia="Cambria" w:hAnsi="Cambria"/>
                <w:rtl w:val="0"/>
              </w:rPr>
              <w:t xml:space="preserve"> spoke in a stylistic and persuasive manner (e.g. volume, speed, tone, diction, and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argument is complete in that it has relevant claims, supported by sufficient reasoning, examples, impacts, and implications.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argument reflects application of theory taught during class 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Student’s rebuttal is effective, and directly responds to an opponent’s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ably supported teammate’s case and arguments.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Student applied feedback from previous debate(s).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N/A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pageBreakBefore w:val="0"/>
              <w:widowControl w:val="0"/>
              <w:spacing w:line="240"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spacing w:line="240" w:lineRule="auto"/>
              <w:jc w:val="center"/>
              <w:rPr>
                <w:rFonts w:ascii="Cambria" w:cs="Cambria" w:eastAsia="Cambria" w:hAnsi="Cambria"/>
              </w:rPr>
            </w:pPr>
            <w:r w:rsidDel="00000000" w:rsidR="00000000" w:rsidRPr="00000000">
              <w:rPr>
                <w:rFonts w:ascii="Cambria" w:cs="Cambria" w:eastAsia="Cambria" w:hAnsi="Cambria"/>
                <w:rtl w:val="0"/>
              </w:rPr>
              <w:t xml:space="preserve">5</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Competition Score:</w:t>
            </w:r>
            <w:r w:rsidDel="00000000" w:rsidR="00000000" w:rsidRPr="00000000">
              <w:rPr>
                <w:rtl w:val="0"/>
              </w:rPr>
            </w:r>
          </w:p>
        </w:tc>
        <w:tc>
          <w:tcPr>
            <w:gridSpan w:val="6"/>
            <w:shd w:fill="auto" w:val="clear"/>
            <w:tcMar>
              <w:top w:w="100.0" w:type="dxa"/>
              <w:left w:w="100.0" w:type="dxa"/>
              <w:bottom w:w="100.0" w:type="dxa"/>
              <w:right w:w="100.0" w:type="dxa"/>
            </w:tcMar>
            <w:vAlign w:val="top"/>
          </w:tcPr>
          <w:p w:rsidR="00000000" w:rsidDel="00000000" w:rsidP="00000000" w:rsidRDefault="00000000" w:rsidRPr="00000000" w14:paraId="0000003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70</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45">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Rubric</w:t>
            </w:r>
          </w:p>
          <w:p w:rsidR="00000000" w:rsidDel="00000000" w:rsidP="00000000" w:rsidRDefault="00000000" w:rsidRPr="00000000" w14:paraId="00000046">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1 - Unobserved.</w:t>
            </w:r>
          </w:p>
          <w:p w:rsidR="00000000" w:rsidDel="00000000" w:rsidP="00000000" w:rsidRDefault="00000000" w:rsidRPr="00000000" w14:paraId="00000047">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2 - Student attempt noted. Needs extended teacher support to properly execute skill. </w:t>
            </w:r>
          </w:p>
          <w:p w:rsidR="00000000" w:rsidDel="00000000" w:rsidP="00000000" w:rsidRDefault="00000000" w:rsidRPr="00000000" w14:paraId="00000048">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3 - Student effort noted. Can execute skill with minimal teacher input and guidance. </w:t>
              <w:br w:type="textWrapping"/>
              <w:t xml:space="preserve">4 - Student can execute skill with little to no prompting. </w:t>
            </w:r>
          </w:p>
          <w:p w:rsidR="00000000" w:rsidDel="00000000" w:rsidP="00000000" w:rsidRDefault="00000000" w:rsidRPr="00000000" w14:paraId="00000049">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5 - Student can execute skill without prompting; exceeds expectations for child of that level.</w:t>
            </w:r>
          </w:p>
        </w:tc>
      </w:tr>
      <w:tr>
        <w:trPr>
          <w:cantSplit w:val="0"/>
          <w:trHeight w:val="480" w:hRule="atLeast"/>
          <w:tblHeader w:val="0"/>
        </w:trPr>
        <w:tc>
          <w:tcPr>
            <w:gridSpan w:val="7"/>
            <w:shd w:fill="auto" w:val="clear"/>
            <w:tcMar>
              <w:top w:w="100.0" w:type="dxa"/>
              <w:left w:w="100.0" w:type="dxa"/>
              <w:bottom w:w="100.0" w:type="dxa"/>
              <w:right w:w="100.0" w:type="dxa"/>
            </w:tcMar>
            <w:vAlign w:val="top"/>
          </w:tcPr>
          <w:p w:rsidR="00000000" w:rsidDel="00000000" w:rsidP="00000000" w:rsidRDefault="00000000" w:rsidRPr="00000000" w14:paraId="00000050">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Teacher comments: </w:t>
            </w:r>
          </w:p>
          <w:p w:rsidR="00000000" w:rsidDel="00000000" w:rsidP="00000000" w:rsidRDefault="00000000" w:rsidRPr="00000000" w14:paraId="00000051">
            <w:pPr>
              <w:pageBreakBefore w:val="0"/>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2">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[NOTE: Today’s speeches are 5 minutes’ long due to time constraints.]</w:t>
            </w:r>
          </w:p>
          <w:p w:rsidR="00000000" w:rsidDel="00000000" w:rsidP="00000000" w:rsidRDefault="00000000" w:rsidRPr="00000000" w14:paraId="00000053">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Good start on why litigating schools is not as simple as it seems, be sure to conclude what point you’re actually making here with this observation. Is the model ineffective? Do you have a better solution? Is it more harm than good?</w:t>
            </w:r>
          </w:p>
          <w:p w:rsidR="00000000" w:rsidDel="00000000" w:rsidP="00000000" w:rsidRDefault="00000000" w:rsidRPr="00000000" w14:paraId="00000055">
            <w:pPr>
              <w:widowControl w:val="0"/>
              <w:numPr>
                <w:ilvl w:val="0"/>
                <w:numId w:val="2"/>
              </w:numPr>
              <w:spacing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Be sure to signpost your arguments as well.</w:t>
            </w:r>
          </w:p>
          <w:p w:rsidR="00000000" w:rsidDel="00000000" w:rsidP="00000000" w:rsidRDefault="00000000" w:rsidRPr="00000000" w14:paraId="00000056">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7">
            <w:pPr>
              <w:widowControl w:val="0"/>
              <w:spacing w:before="0" w:line="240" w:lineRule="auto"/>
              <w:ind w:left="0" w:firstLine="0"/>
              <w:rPr>
                <w:rFonts w:ascii="Cambria" w:cs="Cambria" w:eastAsia="Cambria" w:hAnsi="Cambria"/>
              </w:rPr>
            </w:pPr>
            <w:r w:rsidDel="00000000" w:rsidR="00000000" w:rsidRPr="00000000">
              <w:rPr>
                <w:rFonts w:ascii="Cambria" w:cs="Cambria" w:eastAsia="Cambria" w:hAnsi="Cambria"/>
                <w:rtl w:val="0"/>
              </w:rPr>
              <w:t xml:space="preserve">On the counter set-up:</w:t>
            </w:r>
          </w:p>
          <w:p w:rsidR="00000000" w:rsidDel="00000000" w:rsidP="00000000" w:rsidRDefault="00000000" w:rsidRPr="00000000" w14:paraId="00000058">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saying that the Opposition prefers restorative policies and the root causes of bullying, but who will be the actor taking on this liability/responsibility?</w:t>
            </w:r>
          </w:p>
          <w:p w:rsidR="00000000" w:rsidDel="00000000" w:rsidP="00000000" w:rsidRDefault="00000000" w:rsidRPr="00000000" w14:paraId="00000059">
            <w:pPr>
              <w:widowControl w:val="0"/>
              <w:numPr>
                <w:ilvl w:val="1"/>
                <w:numId w:val="1"/>
              </w:numPr>
              <w:spacing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Instead of school liability, establish coordinated intervention teams including schools, family services, mental health professionals, law enforcement, and community organizations. Each agency contributes specialized expertise - schools provide educational interventions, mental health professionals address psychological factors, family services work with parents, and law enforcement handles criminal behavior. This distributes responsibility appropriately based on institutional capacity rather than burdening schools with problems requiring diverse professional expertise.</w:t>
            </w:r>
          </w:p>
          <w:p w:rsidR="00000000" w:rsidDel="00000000" w:rsidP="00000000" w:rsidRDefault="00000000" w:rsidRPr="00000000" w14:paraId="0000005A">
            <w:pPr>
              <w:widowControl w:val="0"/>
              <w:numPr>
                <w:ilvl w:val="0"/>
                <w:numId w:val="1"/>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Well done proposing giving more funding to help these schools. Frame the Opposition approach as the carrot approach, rather than the stick approach. Establish state-funded anti-bullying specialists, comprehensive staff training programs, and evidence-based intervention curriculum. </w:t>
            </w:r>
          </w:p>
          <w:p w:rsidR="00000000" w:rsidDel="00000000" w:rsidP="00000000" w:rsidRDefault="00000000" w:rsidRPr="00000000" w14:paraId="0000005B">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C">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Where are the rebuttals outside of the set-up?</w:t>
            </w:r>
          </w:p>
          <w:p w:rsidR="00000000" w:rsidDel="00000000" w:rsidP="00000000" w:rsidRDefault="00000000" w:rsidRPr="00000000" w14:paraId="0000005D">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5E">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We need to push back on their model to force them into the gray area of the debate! </w:t>
            </w:r>
          </w:p>
          <w:p w:rsidR="00000000" w:rsidDel="00000000" w:rsidP="00000000" w:rsidRDefault="00000000" w:rsidRPr="00000000" w14:paraId="0000005F">
            <w:pPr>
              <w:widowControl w:val="0"/>
              <w:numPr>
                <w:ilvl w:val="0"/>
                <w:numId w:val="4"/>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Characterise how "severe bullying" lacks clear legal definitions, creating uncertainty about school liability boundaries. Normal childhood conflicts, social exclusion, competitive behaviors, and developmental struggles could be reclassified as actionable bullying under broad interpretations. This definitional ambiguity leads to over-punishment of minor incidents and criminalization of normal childhood social development.</w:t>
            </w:r>
          </w:p>
          <w:p w:rsidR="00000000" w:rsidDel="00000000" w:rsidP="00000000" w:rsidRDefault="00000000" w:rsidRPr="00000000" w14:paraId="00000060">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1">
            <w:pPr>
              <w:widowControl w:val="0"/>
              <w:spacing w:before="0" w:line="240" w:lineRule="auto"/>
              <w:rPr>
                <w:rFonts w:ascii="Cambria" w:cs="Cambria" w:eastAsia="Cambria" w:hAnsi="Cambria"/>
              </w:rPr>
            </w:pPr>
            <w:r w:rsidDel="00000000" w:rsidR="00000000" w:rsidRPr="00000000">
              <w:rPr>
                <w:rFonts w:ascii="Cambria" w:cs="Cambria" w:eastAsia="Cambria" w:hAnsi="Cambria"/>
                <w:rtl w:val="0"/>
              </w:rPr>
              <w:t xml:space="preserve">Recharacterise why schools have limited causation and therefore, limited liability in relation to the root causes of bullying. Bullying behaviors often originate from family environments, parenting styles, and home situations that schools cannot control or correct. Children who bully frequently come from homes with inadequate supervision, aggressive modeling, or psychological problems that require family intervention rather than school remediation. Holding schools liable for problems they didn't create and cannot fully address shifts responsibility away from actual causes.</w:t>
            </w:r>
          </w:p>
          <w:p w:rsidR="00000000" w:rsidDel="00000000" w:rsidP="00000000" w:rsidRDefault="00000000" w:rsidRPr="00000000" w14:paraId="00000062">
            <w:pPr>
              <w:widowControl w:val="0"/>
              <w:numPr>
                <w:ilvl w:val="0"/>
                <w:numId w:val="6"/>
              </w:numPr>
              <w:spacing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As a result, the ability to enforce things would also be incredibly low. Schools have restricted authority over student behavior, especially outside school hours and off school property where much contemporary bullying occurs through social media and community interactions. Legal constraints on student discipline, privacy rights, and due process requirements limit schools' ability to intervene effectively in complex social situations involving multiple families and external factors.</w:t>
            </w:r>
          </w:p>
          <w:p w:rsidR="00000000" w:rsidDel="00000000" w:rsidP="00000000" w:rsidRDefault="00000000" w:rsidRPr="00000000" w14:paraId="00000063">
            <w:pPr>
              <w:widowControl w:val="0"/>
              <w:numPr>
                <w:ilvl w:val="0"/>
                <w:numId w:val="6"/>
              </w:numPr>
              <w:spacing w:after="0" w:before="0" w:line="240" w:lineRule="auto"/>
              <w:ind w:left="720" w:hanging="360"/>
              <w:rPr>
                <w:rFonts w:ascii="Cambria" w:cs="Cambria" w:eastAsia="Cambria" w:hAnsi="Cambria"/>
              </w:rPr>
            </w:pPr>
            <w:r w:rsidDel="00000000" w:rsidR="00000000" w:rsidRPr="00000000">
              <w:rPr>
                <w:rFonts w:ascii="Cambria" w:cs="Cambria" w:eastAsia="Cambria" w:hAnsi="Cambria"/>
                <w:rtl w:val="0"/>
              </w:rPr>
              <w:t xml:space="preserve">Point out that recognizing warning signs doesn't automatically enable effective intervention when underlying problems require family therapy, mental health treatment, or social services beyond school capacity. Observation doesn't create unlimited responsibility to solve complex psychological and social problems that require specialized professional intervention.</w:t>
            </w:r>
          </w:p>
          <w:p w:rsidR="00000000" w:rsidDel="00000000" w:rsidP="00000000" w:rsidRDefault="00000000" w:rsidRPr="00000000" w14:paraId="00000064">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5">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Excellent argument that liability threats transform schools from educational institutions into defensive bureaucracies focused on lawsuit prevention rather than learning. </w:t>
            </w:r>
          </w:p>
          <w:p w:rsidR="00000000" w:rsidDel="00000000" w:rsidP="00000000" w:rsidRDefault="00000000" w:rsidRPr="00000000" w14:paraId="00000066">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Don’t stop at just low-income schools, highlight that teachers and administrators become risk-averse, avoiding innovative teaching methods, student activities, and normal social interactions that could potentially be misconstrued as bullying-related. This defensive posture undermines educational quality and student development opportunities.</w:t>
            </w:r>
          </w:p>
          <w:p w:rsidR="00000000" w:rsidDel="00000000" w:rsidP="00000000" w:rsidRDefault="00000000" w:rsidRPr="00000000" w14:paraId="00000067">
            <w:pPr>
              <w:widowControl w:val="0"/>
              <w:numPr>
                <w:ilvl w:val="0"/>
                <w:numId w:val="5"/>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On diversion of resources, explain how costly are things like legal compliance, documentation systems, and defensive measures. Money spent on liability insurance, legal counsel, and bureaucratic prevention programs reduces funding for teachers, educational materials, and academic programs that actually benefit students. The cure becomes more expensive than the disease.</w:t>
            </w:r>
          </w:p>
          <w:p w:rsidR="00000000" w:rsidDel="00000000" w:rsidP="00000000" w:rsidRDefault="00000000" w:rsidRPr="00000000" w14:paraId="00000068">
            <w:pPr>
              <w:widowControl w:val="0"/>
              <w:spacing w:after="0"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9">
            <w:pPr>
              <w:widowControl w:val="0"/>
              <w:spacing w:after="0" w:before="0" w:line="240" w:lineRule="auto"/>
              <w:rPr>
                <w:rFonts w:ascii="Cambria" w:cs="Cambria" w:eastAsia="Cambria" w:hAnsi="Cambria"/>
              </w:rPr>
            </w:pPr>
            <w:r w:rsidDel="00000000" w:rsidR="00000000" w:rsidRPr="00000000">
              <w:rPr>
                <w:rFonts w:ascii="Cambria" w:cs="Cambria" w:eastAsia="Cambria" w:hAnsi="Cambria"/>
                <w:rtl w:val="0"/>
              </w:rPr>
              <w:t xml:space="preserve">Good push on preferring rehabilitation. However, we don’t have the resources needed for your countermodel, because Opp fiat is quite limited in this debate. Prop is not using any state resources, they are simply allowing victims to sue. We are better off angling this argument into the more harm than good category instead.</w:t>
            </w:r>
          </w:p>
          <w:p w:rsidR="00000000" w:rsidDel="00000000" w:rsidP="00000000" w:rsidRDefault="00000000" w:rsidRPr="00000000" w14:paraId="0000006A">
            <w:pPr>
              <w:widowControl w:val="0"/>
              <w:numPr>
                <w:ilvl w:val="0"/>
                <w:numId w:val="3"/>
              </w:numPr>
              <w:spacing w:after="0" w:before="0" w:line="240"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We can argue that schools could become dictatorial to the extent of hurting rehabilitation severely. Show liability fears lead to harsh zero-tolerance policies that harm students through excessive punishment, suspension, and expulsion for minor incidents. Schools implement overly broad disciplinary measures to demonstrate anti-bullying commitment, creating school-to-prison pipeline effects that disproportionately impact minority and disadvantaged students.</w:t>
            </w:r>
          </w:p>
          <w:p w:rsidR="00000000" w:rsidDel="00000000" w:rsidP="00000000" w:rsidRDefault="00000000" w:rsidRPr="00000000" w14:paraId="0000006B">
            <w:pPr>
              <w:widowControl w:val="0"/>
              <w:numPr>
                <w:ilvl w:val="1"/>
                <w:numId w:val="3"/>
              </w:numPr>
              <w:spacing w:before="0" w:line="240" w:lineRule="auto"/>
              <w:ind w:left="1440" w:hanging="360"/>
              <w:rPr>
                <w:rFonts w:ascii="Cambria" w:cs="Cambria" w:eastAsia="Cambria" w:hAnsi="Cambria"/>
                <w:u w:val="none"/>
              </w:rPr>
            </w:pPr>
            <w:r w:rsidDel="00000000" w:rsidR="00000000" w:rsidRPr="00000000">
              <w:rPr>
                <w:rFonts w:ascii="Cambria" w:cs="Cambria" w:eastAsia="Cambria" w:hAnsi="Cambria"/>
                <w:rtl w:val="0"/>
              </w:rPr>
              <w:t xml:space="preserve">Show how liability creates perverse incentives for schools to expel or exclude potentially problematic students rather than helping them, harming vulnerable children who need educational support most.</w:t>
            </w:r>
          </w:p>
          <w:p w:rsidR="00000000" w:rsidDel="00000000" w:rsidP="00000000" w:rsidRDefault="00000000" w:rsidRPr="00000000" w14:paraId="0000006C">
            <w:pPr>
              <w:widowControl w:val="0"/>
              <w:spacing w:before="0"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D">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Well done offering POIs in the round!</w:t>
            </w:r>
          </w:p>
          <w:p w:rsidR="00000000" w:rsidDel="00000000" w:rsidP="00000000" w:rsidRDefault="00000000" w:rsidRPr="00000000" w14:paraId="0000006E">
            <w:pPr>
              <w:widowControl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6F">
            <w:pPr>
              <w:pageBreakBefore w:val="0"/>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Speaking time: 05:23 - Watch for time!</w:t>
            </w:r>
          </w:p>
        </w:tc>
      </w:tr>
    </w:tbl>
    <w:p w:rsidR="00000000" w:rsidDel="00000000" w:rsidP="00000000" w:rsidRDefault="00000000" w:rsidRPr="00000000" w14:paraId="00000076">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7">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8">
      <w:pPr>
        <w:pageBreakBefore w:val="0"/>
        <w:rPr>
          <w:rFonts w:ascii="Cambria" w:cs="Cambria" w:eastAsia="Cambria" w:hAnsi="Cambria"/>
        </w:rPr>
      </w:pPr>
      <w:r w:rsidDel="00000000" w:rsidR="00000000" w:rsidRPr="00000000">
        <w:rPr>
          <w:rtl w:val="0"/>
        </w:rPr>
      </w:r>
    </w:p>
    <w:p w:rsidR="00000000" w:rsidDel="00000000" w:rsidP="00000000" w:rsidRDefault="00000000" w:rsidRPr="00000000" w14:paraId="00000079">
      <w:pPr>
        <w:pageBreakBefore w:val="0"/>
        <w:rPr>
          <w:rFonts w:ascii="Cambria" w:cs="Cambria" w:eastAsia="Cambria" w:hAnsi="Cambria"/>
        </w:rPr>
      </w:pPr>
      <w:r w:rsidDel="00000000" w:rsidR="00000000" w:rsidRPr="00000000">
        <w:rPr>
          <w:rtl w:val="0"/>
        </w:rPr>
      </w:r>
    </w:p>
    <w:sectPr>
      <w:headerReference r:id="rId6" w:type="default"/>
      <w:pgSz w:h="16838" w:w="11906"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spacing w:line="276" w:lineRule="auto"/>
      <w:jc w:val="center"/>
      <w:rPr/>
    </w:pPr>
    <w:r w:rsidDel="00000000" w:rsidR="00000000" w:rsidRPr="00000000">
      <w:rPr>
        <w:rtl w:val="0"/>
      </w:rPr>
    </w:r>
  </w:p>
  <w:p w:rsidR="00000000" w:rsidDel="00000000" w:rsidP="00000000" w:rsidRDefault="00000000" w:rsidRPr="00000000" w14:paraId="0000007B">
    <w:pPr>
      <w:pageBreakBefore w:val="0"/>
      <w:spacing w:line="276" w:lineRule="auto"/>
      <w:rPr>
        <w:rFonts w:ascii="Cambria" w:cs="Cambria" w:eastAsia="Cambria" w:hAnsi="Cambria"/>
      </w:rPr>
    </w:pPr>
    <w:r w:rsidDel="00000000" w:rsidR="00000000" w:rsidRPr="00000000">
      <w:rPr>
        <w:rFonts w:ascii="Cambria" w:cs="Cambria" w:eastAsia="Cambria" w:hAnsi="Cambria"/>
        <w:b w:val="1"/>
        <w:rtl w:val="0"/>
      </w:rPr>
      <w:t xml:space="preserve">Date and class: 30th of September 2025 &amp; PSD II Intermediate</w:t>
    </w:r>
    <w:r w:rsidDel="00000000" w:rsidR="00000000" w:rsidRPr="00000000">
      <w:rPr>
        <w:rtl w:val="0"/>
      </w:rPr>
    </w:r>
  </w:p>
  <w:p w:rsidR="00000000" w:rsidDel="00000000" w:rsidP="00000000" w:rsidRDefault="00000000" w:rsidRPr="00000000" w14:paraId="0000007C">
    <w:pPr>
      <w:pageBreakBefore w:val="0"/>
      <w:spacing w:line="276" w:lineRule="auto"/>
      <w:jc w:val="center"/>
      <w:rPr/>
    </w:pPr>
    <w:r w:rsidDel="00000000" w:rsidR="00000000" w:rsidRPr="00000000">
      <w:rPr/>
      <w:drawing>
        <wp:inline distB="0" distT="0" distL="0" distR="0">
          <wp:extent cx="2560264" cy="528638"/>
          <wp:effectExtent b="0" l="0" r="0" t="0"/>
          <wp:docPr id="1" name="image1.png"/>
          <a:graphic>
            <a:graphicData uri="http://schemas.openxmlformats.org/drawingml/2006/picture">
              <pic:pic>
                <pic:nvPicPr>
                  <pic:cNvPr id="0" name="image1.png"/>
                  <pic:cNvPicPr preferRelativeResize="0"/>
                </pic:nvPicPr>
                <pic:blipFill>
                  <a:blip r:embed="rId1"/>
                  <a:srcRect b="0" l="-15580" r="-15580" t="0"/>
                  <a:stretch>
                    <a:fillRect/>
                  </a:stretch>
                </pic:blipFill>
                <pic:spPr>
                  <a:xfrm>
                    <a:off x="0" y="0"/>
                    <a:ext cx="2560264" cy="52863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