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rFonts w:ascii="Cambria" w:cs="Cambria" w:eastAsia="Cambria" w:hAnsi="Cambria"/>
        </w:rPr>
      </w:pPr>
      <w:r w:rsidDel="00000000" w:rsidR="00000000" w:rsidRPr="00000000">
        <w:rPr>
          <w:rtl w:val="0"/>
        </w:rPr>
      </w:r>
    </w:p>
    <w:tbl>
      <w:tblPr>
        <w:tblStyle w:val="Table1"/>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rHeight w:val="5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b w:val="1"/>
                <w:rtl w:val="0"/>
              </w:rPr>
              <w:t xml:space="preserve">Student Name: </w:t>
            </w:r>
            <w:r w:rsidDel="00000000" w:rsidR="00000000" w:rsidRPr="00000000">
              <w:rPr>
                <w:rFonts w:ascii="Cambria" w:cs="Cambria" w:eastAsia="Cambria" w:hAnsi="Cambria"/>
                <w:rtl w:val="0"/>
              </w:rPr>
              <w:t xml:space="preserve">Sonja Kit Chow</w:t>
            </w:r>
          </w:p>
        </w:tc>
      </w:tr>
    </w:tbl>
    <w:p w:rsidR="00000000" w:rsidDel="00000000" w:rsidP="00000000" w:rsidRDefault="00000000" w:rsidRPr="00000000" w14:paraId="00000003">
      <w:pPr>
        <w:pageBreakBefore w:val="0"/>
        <w:rPr>
          <w:rFonts w:ascii="Cambria" w:cs="Cambria" w:eastAsia="Cambria" w:hAnsi="Cambria"/>
        </w:rPr>
      </w:pPr>
      <w:r w:rsidDel="00000000" w:rsidR="00000000" w:rsidRPr="00000000">
        <w:rPr>
          <w:rtl w:val="0"/>
        </w:rPr>
      </w:r>
    </w:p>
    <w:tbl>
      <w:tblPr>
        <w:tblStyle w:val="Table2"/>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b w:val="1"/>
                <w:rtl w:val="0"/>
              </w:rPr>
              <w:t xml:space="preserve">Motion:</w:t>
            </w:r>
            <w:r w:rsidDel="00000000" w:rsidR="00000000" w:rsidRPr="00000000">
              <w:rPr>
                <w:rFonts w:ascii="Cambria" w:cs="Cambria" w:eastAsia="Cambria" w:hAnsi="Cambria"/>
                <w:rtl w:val="0"/>
              </w:rPr>
              <w:t xml:space="preserve"> This House Would treat teenagers accused of heinous crimes as adults in legal proceedings</w:t>
            </w:r>
            <w:r w:rsidDel="00000000" w:rsidR="00000000" w:rsidRPr="00000000">
              <w:rPr>
                <w:rtl w:val="0"/>
              </w:rPr>
            </w:r>
          </w:p>
        </w:tc>
      </w:tr>
    </w:tbl>
    <w:p w:rsidR="00000000" w:rsidDel="00000000" w:rsidP="00000000" w:rsidRDefault="00000000" w:rsidRPr="00000000" w14:paraId="00000005">
      <w:pPr>
        <w:pageBreakBefore w:val="0"/>
        <w:rPr>
          <w:rFonts w:ascii="Cambria" w:cs="Cambria" w:eastAsia="Cambria" w:hAnsi="Cambria"/>
        </w:rPr>
      </w:pPr>
      <w:r w:rsidDel="00000000" w:rsidR="00000000" w:rsidRPr="00000000">
        <w:rPr>
          <w:rtl w:val="0"/>
        </w:rPr>
      </w:r>
    </w:p>
    <w:tbl>
      <w:tblPr>
        <w:tblStyle w:val="Table3"/>
        <w:tblW w:w="10530.0" w:type="dxa"/>
        <w:jc w:val="left"/>
        <w:tblInd w:w="-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45"/>
        <w:gridCol w:w="660"/>
        <w:gridCol w:w="525"/>
        <w:gridCol w:w="525"/>
        <w:gridCol w:w="525"/>
        <w:gridCol w:w="525"/>
        <w:gridCol w:w="525"/>
        <w:tblGridChange w:id="0">
          <w:tblGrid>
            <w:gridCol w:w="7245"/>
            <w:gridCol w:w="660"/>
            <w:gridCol w:w="525"/>
            <w:gridCol w:w="525"/>
            <w:gridCol w:w="525"/>
            <w:gridCol w:w="525"/>
            <w:gridCol w:w="525"/>
          </w:tblGrid>
        </w:tblGridChange>
      </w:tblGrid>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spoke for the duration of the specified time frame.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offered and/or accepted a point of information relevant to the topic.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w:t>
            </w:r>
            <w:r w:rsidDel="00000000" w:rsidR="00000000" w:rsidRPr="00000000">
              <w:rPr>
                <w:rFonts w:ascii="Cambria" w:cs="Cambria" w:eastAsia="Cambria" w:hAnsi="Cambria"/>
                <w:rtl w:val="0"/>
              </w:rPr>
              <w:t xml:space="preserve"> spoke in a stylistic and persuasive manner (e.g. volume, speed, tone, diction, and flow).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Student’s argument is complete in that it has relevant claims, supported by sufficient reasoning, examples, impacts, and implications.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argument reflects application of theory taught during class 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Student’s rebuttal is effective, and directly responds to an opponent’s arguments.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ably supported teammate’s case and arguments.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applied feedback from previous debate(s).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Competition Score:</w:t>
            </w:r>
            <w:r w:rsidDel="00000000" w:rsidR="00000000" w:rsidRPr="00000000">
              <w:rPr>
                <w:rtl w:val="0"/>
              </w:rPr>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03F">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69</w:t>
            </w:r>
          </w:p>
        </w:tc>
      </w:tr>
      <w:tr>
        <w:trPr>
          <w:cantSplit w:val="0"/>
          <w:trHeight w:val="480"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045">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Rubric</w:t>
            </w:r>
          </w:p>
          <w:p w:rsidR="00000000" w:rsidDel="00000000" w:rsidP="00000000" w:rsidRDefault="00000000" w:rsidRPr="00000000" w14:paraId="00000046">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1 - Unobserved.</w:t>
            </w:r>
          </w:p>
          <w:p w:rsidR="00000000" w:rsidDel="00000000" w:rsidP="00000000" w:rsidRDefault="00000000" w:rsidRPr="00000000" w14:paraId="00000047">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2 - Student attempt noted. Needs extended teacher support to properly execute skill. </w:t>
            </w:r>
          </w:p>
          <w:p w:rsidR="00000000" w:rsidDel="00000000" w:rsidP="00000000" w:rsidRDefault="00000000" w:rsidRPr="00000000" w14:paraId="00000048">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3 - Student effort noted. Can execute skill with minimal teacher input and guidance. </w:t>
              <w:br w:type="textWrapping"/>
              <w:t xml:space="preserve">4 - Student can execute skill with little to no prompting. </w:t>
            </w:r>
          </w:p>
          <w:p w:rsidR="00000000" w:rsidDel="00000000" w:rsidP="00000000" w:rsidRDefault="00000000" w:rsidRPr="00000000" w14:paraId="00000049">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5 - Student can execute skill without prompting; exceeds expectations for child of that level.</w:t>
            </w:r>
          </w:p>
        </w:tc>
      </w:tr>
      <w:tr>
        <w:trPr>
          <w:cantSplit w:val="0"/>
          <w:trHeight w:val="480"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050">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Teacher comments: </w:t>
            </w:r>
          </w:p>
          <w:p w:rsidR="00000000" w:rsidDel="00000000" w:rsidP="00000000" w:rsidRDefault="00000000" w:rsidRPr="00000000" w14:paraId="00000051">
            <w:pPr>
              <w:pageBreakBefore w:val="0"/>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2">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[NOTE: This is a 7 minutes’ speech.]</w:t>
            </w:r>
          </w:p>
          <w:p w:rsidR="00000000" w:rsidDel="00000000" w:rsidP="00000000" w:rsidRDefault="00000000" w:rsidRPr="00000000" w14:paraId="00000053">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4">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Hook</w:t>
            </w:r>
          </w:p>
          <w:p w:rsidR="00000000" w:rsidDel="00000000" w:rsidP="00000000" w:rsidRDefault="00000000" w:rsidRPr="00000000" w14:paraId="00000055">
            <w:pPr>
              <w:widowControl w:val="0"/>
              <w:numPr>
                <w:ilvl w:val="0"/>
                <w:numId w:val="4"/>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Good job signposting!</w:t>
            </w:r>
          </w:p>
          <w:p w:rsidR="00000000" w:rsidDel="00000000" w:rsidP="00000000" w:rsidRDefault="00000000" w:rsidRPr="00000000" w14:paraId="00000056">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7">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On the counter set-up:</w:t>
            </w:r>
          </w:p>
          <w:p w:rsidR="00000000" w:rsidDel="00000000" w:rsidP="00000000" w:rsidRDefault="00000000" w:rsidRPr="00000000" w14:paraId="00000058">
            <w:pPr>
              <w:widowControl w:val="0"/>
              <w:numPr>
                <w:ilvl w:val="0"/>
                <w:numId w:val="3"/>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Propose comprehensive alternative approaches including education/rehabilitative approach, intensive supervision, and specialized residential programs that provide accountability without adult prosecution. Enhanced juvenile sanctions can address serious crimes while maintaining rehabilitation focus and developmental appropriateness. </w:t>
            </w:r>
          </w:p>
          <w:p w:rsidR="00000000" w:rsidDel="00000000" w:rsidP="00000000" w:rsidRDefault="00000000" w:rsidRPr="00000000" w14:paraId="00000059">
            <w:pPr>
              <w:widowControl w:val="0"/>
              <w:numPr>
                <w:ilvl w:val="0"/>
                <w:numId w:val="3"/>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In juvenile courts, we have age-specialized expertise including developmental psychology knowledge, family systems understanding, and age-appropriate intervention skills that adult courts lack.</w:t>
            </w:r>
          </w:p>
          <w:p w:rsidR="00000000" w:rsidDel="00000000" w:rsidP="00000000" w:rsidRDefault="00000000" w:rsidRPr="00000000" w14:paraId="0000005A">
            <w:pPr>
              <w:widowControl w:val="0"/>
              <w:numPr>
                <w:ilvl w:val="0"/>
                <w:numId w:val="3"/>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What is your burden/winning pathway?</w:t>
            </w:r>
          </w:p>
          <w:p w:rsidR="00000000" w:rsidDel="00000000" w:rsidP="00000000" w:rsidRDefault="00000000" w:rsidRPr="00000000" w14:paraId="0000005B">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C">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Take down their deterrence angle because deterrence strategies fail with adolescent populations due to their psychological focus on immediate rather than long-term consequences and belief in personal invulnerability. Show how teenagers cannot be effectively deterred by adult punishment threats they psychologically cannot fully process. </w:t>
            </w:r>
          </w:p>
          <w:p w:rsidR="00000000" w:rsidDel="00000000" w:rsidP="00000000" w:rsidRDefault="00000000" w:rsidRPr="00000000" w14:paraId="0000005D">
            <w:pPr>
              <w:widowControl w:val="0"/>
              <w:numPr>
                <w:ilvl w:val="0"/>
                <w:numId w:val="2"/>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On the flip side, show that successful restorative justice, intensive supervision, and specialized juvenile programs can hold teenagers accountable for heinous crimes while maintaining age-appropriate treatment and rehabilitation focus. </w:t>
            </w:r>
          </w:p>
          <w:p w:rsidR="00000000" w:rsidDel="00000000" w:rsidP="00000000" w:rsidRDefault="00000000" w:rsidRPr="00000000" w14:paraId="0000005E">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F">
            <w:pPr>
              <w:widowControl w:val="0"/>
              <w:spacing w:line="240" w:lineRule="auto"/>
              <w:ind w:left="0" w:firstLine="0"/>
              <w:rPr>
                <w:rFonts w:ascii="Cambria" w:cs="Cambria" w:eastAsia="Cambria" w:hAnsi="Cambria"/>
              </w:rPr>
            </w:pPr>
            <w:r w:rsidDel="00000000" w:rsidR="00000000" w:rsidRPr="00000000">
              <w:rPr>
                <w:rFonts w:ascii="Cambria" w:cs="Cambria" w:eastAsia="Cambria" w:hAnsi="Cambria"/>
                <w:rtl w:val="0"/>
              </w:rPr>
              <w:t xml:space="preserve">It is factually true that adolescent brains are less developed. Characterise that teenage brains lack fully developed prefrontal cortex responsible for impulse control, risk assessment, and long-term consequence evaluation. This neurological immaturity is what creates diminished capacity for understanding crime consequences and making rational decisions. We can use this to push for an objective basis for different legal treatment based on developmental limitations rather than chronological age alone.</w:t>
            </w:r>
          </w:p>
          <w:p w:rsidR="00000000" w:rsidDel="00000000" w:rsidP="00000000" w:rsidRDefault="00000000" w:rsidRPr="00000000" w14:paraId="00000060">
            <w:pPr>
              <w:widowControl w:val="0"/>
              <w:numPr>
                <w:ilvl w:val="0"/>
                <w:numId w:val="1"/>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It is also likely that heinous teenage crimes often result from trauma, abuse, mental health issues, or peer pressure rather than mature criminal decision-making, making adult culpability inappropriate. Show how teenagers who commit serious crimes frequently have histories of victimization that explain rather than excuse their behavior. Establish context-sensitive approach to juvenile culpability assessment.</w:t>
            </w:r>
          </w:p>
          <w:p w:rsidR="00000000" w:rsidDel="00000000" w:rsidP="00000000" w:rsidRDefault="00000000" w:rsidRPr="00000000" w14:paraId="00000061">
            <w:pPr>
              <w:widowControl w:val="0"/>
              <w:spacing w:line="240" w:lineRule="auto"/>
              <w:ind w:left="0" w:firstLine="0"/>
              <w:rPr>
                <w:rFonts w:ascii="Cambria" w:cs="Cambria" w:eastAsia="Cambria" w:hAnsi="Cambria"/>
              </w:rPr>
            </w:pPr>
            <w:r w:rsidDel="00000000" w:rsidR="00000000" w:rsidRPr="00000000">
              <w:rPr>
                <w:rtl w:val="0"/>
              </w:rPr>
            </w:r>
          </w:p>
          <w:p w:rsidR="00000000" w:rsidDel="00000000" w:rsidP="00000000" w:rsidRDefault="00000000" w:rsidRPr="00000000" w14:paraId="00000062">
            <w:pPr>
              <w:widowControl w:val="0"/>
              <w:spacing w:line="240" w:lineRule="auto"/>
              <w:ind w:left="0" w:firstLine="0"/>
              <w:rPr>
                <w:rFonts w:ascii="Cambria" w:cs="Cambria" w:eastAsia="Cambria" w:hAnsi="Cambria"/>
              </w:rPr>
            </w:pPr>
            <w:r w:rsidDel="00000000" w:rsidR="00000000" w:rsidRPr="00000000">
              <w:rPr>
                <w:rFonts w:ascii="Cambria" w:cs="Cambria" w:eastAsia="Cambria" w:hAnsi="Cambria"/>
                <w:rtl w:val="0"/>
              </w:rPr>
              <w:t xml:space="preserve">Show how the juvenile justice system's rehabilitation focus achieves better outcomes for teenage offenders including lower recidivism rates, successful reintegration, and positive life trajectory changes compared to adult punitive systems. Document cases of successful rehabilitation for teenagers who committed serious crimes. Establish that the justice system should prioritize reducing future crime through rehabilitation rather than purely punitive responses.</w:t>
            </w:r>
          </w:p>
          <w:p w:rsidR="00000000" w:rsidDel="00000000" w:rsidP="00000000" w:rsidRDefault="00000000" w:rsidRPr="00000000" w14:paraId="00000063">
            <w:pPr>
              <w:widowControl w:val="0"/>
              <w:spacing w:line="240" w:lineRule="auto"/>
              <w:ind w:left="0" w:firstLine="0"/>
              <w:rPr>
                <w:rFonts w:ascii="Cambria" w:cs="Cambria" w:eastAsia="Cambria" w:hAnsi="Cambria"/>
              </w:rPr>
            </w:pPr>
            <w:r w:rsidDel="00000000" w:rsidR="00000000" w:rsidRPr="00000000">
              <w:rPr>
                <w:rtl w:val="0"/>
              </w:rPr>
            </w:r>
          </w:p>
          <w:p w:rsidR="00000000" w:rsidDel="00000000" w:rsidP="00000000" w:rsidRDefault="00000000" w:rsidRPr="00000000" w14:paraId="00000064">
            <w:pPr>
              <w:widowControl w:val="0"/>
              <w:spacing w:line="240" w:lineRule="auto"/>
              <w:ind w:left="0" w:firstLine="0"/>
              <w:rPr>
                <w:rFonts w:ascii="Cambria" w:cs="Cambria" w:eastAsia="Cambria" w:hAnsi="Cambria"/>
              </w:rPr>
            </w:pPr>
            <w:r w:rsidDel="00000000" w:rsidR="00000000" w:rsidRPr="00000000">
              <w:rPr>
                <w:rFonts w:ascii="Cambria" w:cs="Cambria" w:eastAsia="Cambria" w:hAnsi="Cambria"/>
                <w:rtl w:val="0"/>
              </w:rPr>
              <w:t xml:space="preserve">The legal system is brutal even for adults, so place it in the context of how the process harms teenagers. Show adult prosecution exposes teenagers to procedural disadvantages including inadequate legal representation, complex legal processes they cannot understand, and adult prison environments that violate their developmental needs. Show how due process requires age-appropriate legal procedures that protect juvenile defendants from adult system complexities. Establish constitutional arguments for maintaining juvenile court protections.</w:t>
            </w:r>
          </w:p>
          <w:p w:rsidR="00000000" w:rsidDel="00000000" w:rsidP="00000000" w:rsidRDefault="00000000" w:rsidRPr="00000000" w14:paraId="00000065">
            <w:pPr>
              <w:widowControl w:val="0"/>
              <w:spacing w:line="240" w:lineRule="auto"/>
              <w:ind w:left="0" w:firstLine="0"/>
              <w:rPr>
                <w:rFonts w:ascii="Cambria" w:cs="Cambria" w:eastAsia="Cambria" w:hAnsi="Cambria"/>
              </w:rPr>
            </w:pPr>
            <w:r w:rsidDel="00000000" w:rsidR="00000000" w:rsidRPr="00000000">
              <w:rPr>
                <w:rtl w:val="0"/>
              </w:rPr>
            </w:r>
          </w:p>
          <w:p w:rsidR="00000000" w:rsidDel="00000000" w:rsidP="00000000" w:rsidRDefault="00000000" w:rsidRPr="00000000" w14:paraId="00000066">
            <w:pPr>
              <w:widowControl w:val="0"/>
              <w:spacing w:line="240" w:lineRule="auto"/>
              <w:ind w:left="0" w:firstLine="0"/>
              <w:rPr>
                <w:rFonts w:ascii="Cambria" w:cs="Cambria" w:eastAsia="Cambria" w:hAnsi="Cambria"/>
              </w:rPr>
            </w:pPr>
            <w:r w:rsidDel="00000000" w:rsidR="00000000" w:rsidRPr="00000000">
              <w:rPr>
                <w:rFonts w:ascii="Cambria" w:cs="Cambria" w:eastAsia="Cambria" w:hAnsi="Cambria"/>
                <w:rtl w:val="0"/>
              </w:rPr>
              <w:t xml:space="preserve">Adult prisons are categorically harsher and abusive. There is a higher record of physical and sexual abuse, violence, and suicide rates among teenagers in adult prison systems compared to juvenile facilities designed for their developmental needs. Explain how adult incarceration creates additional trauma and psychological damage that undermines any rehabilitative goals. Show how an adult prison environment violates basic human rights for adolescent offenders regardless of crime severity.</w:t>
            </w:r>
          </w:p>
          <w:p w:rsidR="00000000" w:rsidDel="00000000" w:rsidP="00000000" w:rsidRDefault="00000000" w:rsidRPr="00000000" w14:paraId="00000067">
            <w:pPr>
              <w:widowControl w:val="0"/>
              <w:numPr>
                <w:ilvl w:val="0"/>
                <w:numId w:val="5"/>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Argue that adult sentences for teenagers constitute cruel and unusual punishment given their developmental status and rehabilitation potential, violating constitutional proportionality requirements. Show how life sentences or lengthy adult incarceration for adolescents creates disproportionate punishment relative to their diminished culpability. Establish constitutional limitations on adult treatment of juvenile offenders.</w:t>
            </w:r>
          </w:p>
          <w:p w:rsidR="00000000" w:rsidDel="00000000" w:rsidP="00000000" w:rsidRDefault="00000000" w:rsidRPr="00000000" w14:paraId="00000068">
            <w:pPr>
              <w:widowControl w:val="0"/>
              <w:numPr>
                <w:ilvl w:val="0"/>
                <w:numId w:val="5"/>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Argue that juvenile courts have specialized expertise in adolescent development, family dynamics, and age-appropriate interventions that adult courts lack, making them better equipped to handle teenage offenders even for serious crimes. Show how juvenile justice professionals understand adolescent psychology and rehabilitation needs. Establish expertise arguments for maintaining juvenile jurisdiction.</w:t>
            </w:r>
          </w:p>
          <w:p w:rsidR="00000000" w:rsidDel="00000000" w:rsidP="00000000" w:rsidRDefault="00000000" w:rsidRPr="00000000" w14:paraId="00000069">
            <w:pPr>
              <w:widowControl w:val="0"/>
              <w:spacing w:line="240" w:lineRule="auto"/>
              <w:ind w:left="0" w:firstLine="0"/>
              <w:rPr>
                <w:rFonts w:ascii="Cambria" w:cs="Cambria" w:eastAsia="Cambria" w:hAnsi="Cambria"/>
              </w:rPr>
            </w:pPr>
            <w:r w:rsidDel="00000000" w:rsidR="00000000" w:rsidRPr="00000000">
              <w:rPr>
                <w:rtl w:val="0"/>
              </w:rPr>
            </w:r>
          </w:p>
          <w:p w:rsidR="00000000" w:rsidDel="00000000" w:rsidP="00000000" w:rsidRDefault="00000000" w:rsidRPr="00000000" w14:paraId="0000006A">
            <w:pPr>
              <w:widowControl w:val="0"/>
              <w:spacing w:line="240" w:lineRule="auto"/>
              <w:ind w:left="0" w:firstLine="0"/>
              <w:rPr>
                <w:rFonts w:ascii="Cambria" w:cs="Cambria" w:eastAsia="Cambria" w:hAnsi="Cambria"/>
              </w:rPr>
            </w:pPr>
            <w:r w:rsidDel="00000000" w:rsidR="00000000" w:rsidRPr="00000000">
              <w:rPr>
                <w:rFonts w:ascii="Cambria" w:cs="Cambria" w:eastAsia="Cambria" w:hAnsi="Cambria"/>
                <w:rtl w:val="0"/>
              </w:rPr>
              <w:t xml:space="preserve">Show how adult treatment of teenage offenders creates permanent life disruption including employment barriers, educational exclusion, and social marginalization that increases rather than decreases future crime risk. Document how adult criminal records destroy rehabilitation opportunities and life chances for individuals who could successfully reintegrate. Establish social cost arguments against adult prosecution.</w:t>
            </w:r>
          </w:p>
          <w:p w:rsidR="00000000" w:rsidDel="00000000" w:rsidP="00000000" w:rsidRDefault="00000000" w:rsidRPr="00000000" w14:paraId="0000006B">
            <w:pPr>
              <w:widowControl w:val="0"/>
              <w:spacing w:line="240" w:lineRule="auto"/>
              <w:ind w:left="0" w:firstLine="0"/>
              <w:rPr>
                <w:rFonts w:ascii="Cambria" w:cs="Cambria" w:eastAsia="Cambria" w:hAnsi="Cambria"/>
              </w:rPr>
            </w:pPr>
            <w:r w:rsidDel="00000000" w:rsidR="00000000" w:rsidRPr="00000000">
              <w:rPr>
                <w:rtl w:val="0"/>
              </w:rPr>
            </w:r>
          </w:p>
          <w:p w:rsidR="00000000" w:rsidDel="00000000" w:rsidP="00000000" w:rsidRDefault="00000000" w:rsidRPr="00000000" w14:paraId="0000006C">
            <w:pPr>
              <w:widowControl w:val="0"/>
              <w:spacing w:line="240" w:lineRule="auto"/>
              <w:ind w:left="0" w:firstLine="0"/>
              <w:rPr>
                <w:rFonts w:ascii="Cambria" w:cs="Cambria" w:eastAsia="Cambria" w:hAnsi="Cambria"/>
              </w:rPr>
            </w:pPr>
            <w:r w:rsidDel="00000000" w:rsidR="00000000" w:rsidRPr="00000000">
              <w:rPr>
                <w:rFonts w:ascii="Cambria" w:cs="Cambria" w:eastAsia="Cambria" w:hAnsi="Cambria"/>
                <w:rtl w:val="0"/>
              </w:rPr>
              <w:t xml:space="preserve">Please offer more POIs in the round! Good job offering POIs in the round.</w:t>
            </w:r>
          </w:p>
          <w:p w:rsidR="00000000" w:rsidDel="00000000" w:rsidP="00000000" w:rsidRDefault="00000000" w:rsidRPr="00000000" w14:paraId="0000006D">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6E">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Speaking time: 0 - Watch for time!</w:t>
            </w:r>
          </w:p>
        </w:tc>
      </w:tr>
    </w:tbl>
    <w:p w:rsidR="00000000" w:rsidDel="00000000" w:rsidP="00000000" w:rsidRDefault="00000000" w:rsidRPr="00000000" w14:paraId="00000075">
      <w:pPr>
        <w:pageBreakBefore w:val="0"/>
        <w:rPr>
          <w:rFonts w:ascii="Cambria" w:cs="Cambria" w:eastAsia="Cambria" w:hAnsi="Cambria"/>
        </w:rPr>
      </w:pPr>
      <w:r w:rsidDel="00000000" w:rsidR="00000000" w:rsidRPr="00000000">
        <w:rPr>
          <w:rtl w:val="0"/>
        </w:rPr>
      </w:r>
    </w:p>
    <w:p w:rsidR="00000000" w:rsidDel="00000000" w:rsidP="00000000" w:rsidRDefault="00000000" w:rsidRPr="00000000" w14:paraId="00000076">
      <w:pPr>
        <w:pageBreakBefore w:val="0"/>
        <w:rPr>
          <w:rFonts w:ascii="Cambria" w:cs="Cambria" w:eastAsia="Cambria" w:hAnsi="Cambria"/>
        </w:rPr>
      </w:pPr>
      <w:r w:rsidDel="00000000" w:rsidR="00000000" w:rsidRPr="00000000">
        <w:rPr>
          <w:rtl w:val="0"/>
        </w:rPr>
      </w:r>
    </w:p>
    <w:sectPr>
      <w:headerReference r:id="rId6" w:type="default"/>
      <w:pgSz w:h="16838" w:w="11906"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7">
    <w:pPr>
      <w:pageBreakBefore w:val="0"/>
      <w:spacing w:line="276" w:lineRule="auto"/>
      <w:jc w:val="center"/>
      <w:rPr/>
    </w:pPr>
    <w:r w:rsidDel="00000000" w:rsidR="00000000" w:rsidRPr="00000000">
      <w:rPr>
        <w:rtl w:val="0"/>
      </w:rPr>
    </w:r>
  </w:p>
  <w:p w:rsidR="00000000" w:rsidDel="00000000" w:rsidP="00000000" w:rsidRDefault="00000000" w:rsidRPr="00000000" w14:paraId="00000078">
    <w:pPr>
      <w:pageBreakBefore w:val="0"/>
      <w:spacing w:line="276" w:lineRule="auto"/>
      <w:rPr>
        <w:rFonts w:ascii="Cambria" w:cs="Cambria" w:eastAsia="Cambria" w:hAnsi="Cambria"/>
      </w:rPr>
    </w:pPr>
    <w:r w:rsidDel="00000000" w:rsidR="00000000" w:rsidRPr="00000000">
      <w:rPr>
        <w:rFonts w:ascii="Cambria" w:cs="Cambria" w:eastAsia="Cambria" w:hAnsi="Cambria"/>
        <w:b w:val="1"/>
        <w:rtl w:val="0"/>
      </w:rPr>
      <w:t xml:space="preserve">Date and class: 28th of October 2025 &amp; PSD II Intermediate</w:t>
    </w:r>
    <w:r w:rsidDel="00000000" w:rsidR="00000000" w:rsidRPr="00000000">
      <w:rPr>
        <w:rtl w:val="0"/>
      </w:rPr>
    </w:r>
  </w:p>
  <w:p w:rsidR="00000000" w:rsidDel="00000000" w:rsidP="00000000" w:rsidRDefault="00000000" w:rsidRPr="00000000" w14:paraId="00000079">
    <w:pPr>
      <w:pageBreakBefore w:val="0"/>
      <w:spacing w:line="276" w:lineRule="auto"/>
      <w:jc w:val="center"/>
      <w:rPr/>
    </w:pPr>
    <w:r w:rsidDel="00000000" w:rsidR="00000000" w:rsidRPr="00000000">
      <w:rPr/>
      <w:drawing>
        <wp:inline distB="0" distT="0" distL="0" distR="0">
          <wp:extent cx="2560264" cy="528638"/>
          <wp:effectExtent b="0" l="0" r="0" t="0"/>
          <wp:docPr id="1" name="image1.png"/>
          <a:graphic>
            <a:graphicData uri="http://schemas.openxmlformats.org/drawingml/2006/picture">
              <pic:pic>
                <pic:nvPicPr>
                  <pic:cNvPr id="0" name="image1.png"/>
                  <pic:cNvPicPr preferRelativeResize="0"/>
                </pic:nvPicPr>
                <pic:blipFill>
                  <a:blip r:embed="rId1"/>
                  <a:srcRect b="0" l="-15580" r="-15580" t="0"/>
                  <a:stretch>
                    <a:fillRect/>
                  </a:stretch>
                </pic:blipFill>
                <pic:spPr>
                  <a:xfrm>
                    <a:off x="0" y="0"/>
                    <a:ext cx="2560264" cy="528638"/>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