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rFonts w:ascii="Cambria" w:cs="Cambria" w:eastAsia="Cambria" w:hAnsi="Cambria"/>
        </w:rPr>
      </w:pPr>
      <w:r w:rsidDel="00000000" w:rsidR="00000000" w:rsidRPr="00000000">
        <w:rPr>
          <w:rtl w:val="0"/>
        </w:rPr>
      </w:r>
    </w:p>
    <w:tbl>
      <w:tblPr>
        <w:tblStyle w:val="Table1"/>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rHeight w:val="5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b w:val="1"/>
                <w:rtl w:val="0"/>
              </w:rPr>
              <w:t xml:space="preserve">Student Name: </w:t>
            </w:r>
            <w:r w:rsidDel="00000000" w:rsidR="00000000" w:rsidRPr="00000000">
              <w:rPr>
                <w:rFonts w:ascii="Cambria" w:cs="Cambria" w:eastAsia="Cambria" w:hAnsi="Cambria"/>
                <w:rtl w:val="0"/>
              </w:rPr>
              <w:t xml:space="preserve">Marvis Leung</w:t>
            </w:r>
          </w:p>
        </w:tc>
      </w:tr>
    </w:tbl>
    <w:p w:rsidR="00000000" w:rsidDel="00000000" w:rsidP="00000000" w:rsidRDefault="00000000" w:rsidRPr="00000000" w14:paraId="00000003">
      <w:pPr>
        <w:pageBreakBefore w:val="0"/>
        <w:rPr>
          <w:rFonts w:ascii="Cambria" w:cs="Cambria" w:eastAsia="Cambria" w:hAnsi="Cambria"/>
        </w:rPr>
      </w:pPr>
      <w:r w:rsidDel="00000000" w:rsidR="00000000" w:rsidRPr="00000000">
        <w:rPr>
          <w:rtl w:val="0"/>
        </w:rPr>
      </w:r>
    </w:p>
    <w:tbl>
      <w:tblPr>
        <w:tblStyle w:val="Table2"/>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pageBreakBefore w:val="0"/>
              <w:widowControl w:val="0"/>
              <w:spacing w:line="240" w:lineRule="auto"/>
              <w:rPr>
                <w:rFonts w:ascii="Cambria" w:cs="Cambria" w:eastAsia="Cambria" w:hAnsi="Cambria"/>
                <w:sz w:val="20"/>
                <w:szCs w:val="20"/>
              </w:rPr>
            </w:pPr>
            <w:r w:rsidDel="00000000" w:rsidR="00000000" w:rsidRPr="00000000">
              <w:rPr>
                <w:rFonts w:ascii="Cambria" w:cs="Cambria" w:eastAsia="Cambria" w:hAnsi="Cambria"/>
                <w:b w:val="1"/>
                <w:rtl w:val="0"/>
              </w:rPr>
              <w:t xml:space="preserve">Motion:</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rtl w:val="0"/>
              </w:rPr>
              <w:t xml:space="preserve">This House Opposes the norm of significantly sacrificing other life goals to start a family (e.g. friendships, careers, parents)</w:t>
            </w:r>
            <w:r w:rsidDel="00000000" w:rsidR="00000000" w:rsidRPr="00000000">
              <w:rPr>
                <w:rtl w:val="0"/>
              </w:rPr>
            </w:r>
          </w:p>
        </w:tc>
      </w:tr>
    </w:tbl>
    <w:p w:rsidR="00000000" w:rsidDel="00000000" w:rsidP="00000000" w:rsidRDefault="00000000" w:rsidRPr="00000000" w14:paraId="00000005">
      <w:pPr>
        <w:pageBreakBefore w:val="0"/>
        <w:rPr>
          <w:rFonts w:ascii="Cambria" w:cs="Cambria" w:eastAsia="Cambria" w:hAnsi="Cambria"/>
        </w:rPr>
      </w:pPr>
      <w:r w:rsidDel="00000000" w:rsidR="00000000" w:rsidRPr="00000000">
        <w:rPr>
          <w:rtl w:val="0"/>
        </w:rPr>
      </w:r>
    </w:p>
    <w:tbl>
      <w:tblPr>
        <w:tblStyle w:val="Table3"/>
        <w:tblW w:w="10530.0" w:type="dxa"/>
        <w:jc w:val="left"/>
        <w:tblInd w:w="-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45"/>
        <w:gridCol w:w="660"/>
        <w:gridCol w:w="525"/>
        <w:gridCol w:w="525"/>
        <w:gridCol w:w="525"/>
        <w:gridCol w:w="525"/>
        <w:gridCol w:w="525"/>
        <w:tblGridChange w:id="0">
          <w:tblGrid>
            <w:gridCol w:w="7245"/>
            <w:gridCol w:w="660"/>
            <w:gridCol w:w="525"/>
            <w:gridCol w:w="525"/>
            <w:gridCol w:w="525"/>
            <w:gridCol w:w="525"/>
            <w:gridCol w:w="525"/>
          </w:tblGrid>
        </w:tblGridChange>
      </w:tblGrid>
      <w:tr>
        <w:trPr>
          <w:cantSplit w:val="0"/>
          <w:trHeight w:val="4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 spoke for the duration of the specified time frame.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 offered and/or accepted a point of information relevant to the topic.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w:t>
            </w:r>
            <w:r w:rsidDel="00000000" w:rsidR="00000000" w:rsidRPr="00000000">
              <w:rPr>
                <w:rFonts w:ascii="Cambria" w:cs="Cambria" w:eastAsia="Cambria" w:hAnsi="Cambria"/>
                <w:rtl w:val="0"/>
              </w:rPr>
              <w:t xml:space="preserve"> spoke in a stylistic and persuasive manner (e.g. volume, speed, tone, diction, and flow).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Student’s argument is complete in that it has relevant claims, supported by sufficient reasoning, examples, impacts, and implications.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 argument reflects application of theory taught during class 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Student’s rebuttal is effective, and directly responds to an opponent’s arguments.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 ably supported teammate’s case and arguments.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 applied feedback from previous debate(s).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Competition Score:</w:t>
            </w:r>
            <w:r w:rsidDel="00000000" w:rsidR="00000000" w:rsidRPr="00000000">
              <w:rPr>
                <w:rtl w:val="0"/>
              </w:rPr>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03F">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71</w:t>
            </w:r>
          </w:p>
        </w:tc>
      </w:tr>
      <w:tr>
        <w:trPr>
          <w:cantSplit w:val="0"/>
          <w:trHeight w:val="480"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0045">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Rubric</w:t>
            </w:r>
          </w:p>
          <w:p w:rsidR="00000000" w:rsidDel="00000000" w:rsidP="00000000" w:rsidRDefault="00000000" w:rsidRPr="00000000" w14:paraId="00000046">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1 - Unobserved.</w:t>
            </w:r>
          </w:p>
          <w:p w:rsidR="00000000" w:rsidDel="00000000" w:rsidP="00000000" w:rsidRDefault="00000000" w:rsidRPr="00000000" w14:paraId="00000047">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2 - Student attempt noted. Needs extended teacher support to properly execute skill. </w:t>
            </w:r>
          </w:p>
          <w:p w:rsidR="00000000" w:rsidDel="00000000" w:rsidP="00000000" w:rsidRDefault="00000000" w:rsidRPr="00000000" w14:paraId="00000048">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3 - Student effort noted. Can execute skill with minimal teacher input and guidance. </w:t>
              <w:br w:type="textWrapping"/>
              <w:t xml:space="preserve">4 - Student can execute skill with little to no prompting. </w:t>
            </w:r>
          </w:p>
          <w:p w:rsidR="00000000" w:rsidDel="00000000" w:rsidP="00000000" w:rsidRDefault="00000000" w:rsidRPr="00000000" w14:paraId="00000049">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5 - Student can execute skill without prompting; exceeds expectations for child of that level.</w:t>
            </w:r>
          </w:p>
        </w:tc>
      </w:tr>
      <w:tr>
        <w:trPr>
          <w:cantSplit w:val="0"/>
          <w:trHeight w:val="480"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0050">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Teacher comments: </w:t>
            </w:r>
          </w:p>
          <w:p w:rsidR="00000000" w:rsidDel="00000000" w:rsidP="00000000" w:rsidRDefault="00000000" w:rsidRPr="00000000" w14:paraId="00000051">
            <w:pPr>
              <w:pageBreakBefore w:val="0"/>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2">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[NOTE: Today’s speeches are 6 minutes’ long due to time constraints.]</w:t>
            </w:r>
          </w:p>
          <w:p w:rsidR="00000000" w:rsidDel="00000000" w:rsidP="00000000" w:rsidRDefault="00000000" w:rsidRPr="00000000" w14:paraId="00000053">
            <w:pPr>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4">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Excellent hook about many children being sidelined to other individual ambitions, instead of diving right into all of the analysis, highlight the trade-off just for 30 seconds then signpost your speech and do the set-up.</w:t>
            </w:r>
          </w:p>
          <w:p w:rsidR="00000000" w:rsidDel="00000000" w:rsidP="00000000" w:rsidRDefault="00000000" w:rsidRPr="00000000" w14:paraId="00000055">
            <w:pPr>
              <w:pageBreakBefore w:val="0"/>
              <w:widowControl w:val="0"/>
              <w:numPr>
                <w:ilvl w:val="0"/>
                <w:numId w:val="4"/>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Good job signposting!</w:t>
            </w:r>
          </w:p>
          <w:p w:rsidR="00000000" w:rsidDel="00000000" w:rsidP="00000000" w:rsidRDefault="00000000" w:rsidRPr="00000000" w14:paraId="00000056">
            <w:pPr>
              <w:pageBreakBefore w:val="0"/>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7">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On the counter set-up:</w:t>
            </w:r>
          </w:p>
          <w:p w:rsidR="00000000" w:rsidDel="00000000" w:rsidP="00000000" w:rsidRDefault="00000000" w:rsidRPr="00000000" w14:paraId="00000058">
            <w:pPr>
              <w:pageBreakBefore w:val="0"/>
              <w:widowControl w:val="0"/>
              <w:numPr>
                <w:ilvl w:val="0"/>
                <w:numId w:val="3"/>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Good clarification that the norm doesn’t coerce everyone, but how so? Explain that many individuals opt out of large norms when it doesn’t suit their lifestyles and interests. </w:t>
            </w:r>
          </w:p>
          <w:p w:rsidR="00000000" w:rsidDel="00000000" w:rsidP="00000000" w:rsidRDefault="00000000" w:rsidRPr="00000000" w14:paraId="00000059">
            <w:pPr>
              <w:pageBreakBefore w:val="0"/>
              <w:widowControl w:val="0"/>
              <w:numPr>
                <w:ilvl w:val="0"/>
                <w:numId w:val="3"/>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Highlight Prop’s strategic mistake here, their first argument on being pro-choice is defunct because ALL norms are coercive. So no matter what Prop supports, there will be a coercive norm that will violate their first argument.</w:t>
            </w:r>
          </w:p>
          <w:p w:rsidR="00000000" w:rsidDel="00000000" w:rsidP="00000000" w:rsidRDefault="00000000" w:rsidRPr="00000000" w14:paraId="0000005A">
            <w:pPr>
              <w:pageBreakBefore w:val="0"/>
              <w:widowControl w:val="0"/>
              <w:numPr>
                <w:ilvl w:val="0"/>
                <w:numId w:val="3"/>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Good clarity that it’s not about giving up their jobs entirely, but focusing on their child’s needs over climbing the corporate ladder.</w:t>
            </w:r>
          </w:p>
          <w:p w:rsidR="00000000" w:rsidDel="00000000" w:rsidP="00000000" w:rsidRDefault="00000000" w:rsidRPr="00000000" w14:paraId="0000005B">
            <w:pPr>
              <w:pageBreakBefore w:val="0"/>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C">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A lot of our rebuttals on children needing that level of quality parenting will overlap with your argument and make it competitive!</w:t>
            </w:r>
          </w:p>
          <w:p w:rsidR="00000000" w:rsidDel="00000000" w:rsidP="00000000" w:rsidRDefault="00000000" w:rsidRPr="00000000" w14:paraId="0000005D">
            <w:pPr>
              <w:pageBreakBefore w:val="0"/>
              <w:widowControl w:val="0"/>
              <w:numPr>
                <w:ilvl w:val="0"/>
                <w:numId w:val="2"/>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The same goes with the POI response. While I appreciate the example of Elon Musk, can we explain the natural incentives of human beings to abandon their children? Because Prop highlighted that there are innate incentives to protect one’s offspring.</w:t>
            </w:r>
          </w:p>
          <w:p w:rsidR="00000000" w:rsidDel="00000000" w:rsidP="00000000" w:rsidRDefault="00000000" w:rsidRPr="00000000" w14:paraId="0000005E">
            <w:pPr>
              <w:pageBreakBefore w:val="0"/>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F">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Challenge Prop’s idea that parents end up losing their own sense of self if they focus on their children. Explain that many parents find deeper life satisfaction through family commitment than through career or social achievements. Parenting provides unique meaning, purpose, and emotional rewards that external accomplishments cannot match. Surveys consistently show that family relationships rank higher than career success in life satisfaction measures.</w:t>
            </w:r>
          </w:p>
          <w:p w:rsidR="00000000" w:rsidDel="00000000" w:rsidP="00000000" w:rsidRDefault="00000000" w:rsidRPr="00000000" w14:paraId="00000060">
            <w:pPr>
              <w:pageBreakBefore w:val="0"/>
              <w:widowControl w:val="0"/>
              <w:numPr>
                <w:ilvl w:val="0"/>
                <w:numId w:val="1"/>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Argue that couples who prioritize family together create stronger bonds than those maintaining separate individual pursuits. Shared sacrifice for family goals builds mutual commitment and common purpose. Couples who maintain separate careers and social lives often grow apart and experience higher divorce rates.</w:t>
            </w:r>
          </w:p>
          <w:p w:rsidR="00000000" w:rsidDel="00000000" w:rsidP="00000000" w:rsidRDefault="00000000" w:rsidRPr="00000000" w14:paraId="00000061">
            <w:pPr>
              <w:pageBreakBefore w:val="0"/>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62">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To engage with their point on intergenerational harm, point out that family sacrifice represents investment in future generations that creates lasting social benefits. Well-raised children become productive citizens, caring parents, and community contributors. This intergenerational investment justifies temporary individual sacrifice for long-term social benefits.</w:t>
            </w:r>
          </w:p>
          <w:p w:rsidR="00000000" w:rsidDel="00000000" w:rsidP="00000000" w:rsidRDefault="00000000" w:rsidRPr="00000000" w14:paraId="00000063">
            <w:pPr>
              <w:pageBreakBefore w:val="0"/>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64">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Good first argument on the principle of children deserving that level of care.</w:t>
            </w:r>
          </w:p>
          <w:p w:rsidR="00000000" w:rsidDel="00000000" w:rsidP="00000000" w:rsidRDefault="00000000" w:rsidRPr="00000000" w14:paraId="00000065">
            <w:pPr>
              <w:widowControl w:val="0"/>
              <w:numPr>
                <w:ilvl w:val="0"/>
                <w:numId w:val="6"/>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Solid mechanistic analysis on the birth lottery, but we need to expand on the human costs of children when they are trapped in a household with a neglectful parent.</w:t>
            </w:r>
          </w:p>
          <w:p w:rsidR="00000000" w:rsidDel="00000000" w:rsidP="00000000" w:rsidRDefault="00000000" w:rsidRPr="00000000" w14:paraId="00000066">
            <w:pPr>
              <w:widowControl w:val="0"/>
              <w:numPr>
                <w:ilvl w:val="1"/>
                <w:numId w:val="6"/>
              </w:numPr>
              <w:spacing w:line="240" w:lineRule="auto"/>
              <w:ind w:left="1440" w:hanging="360"/>
              <w:rPr>
                <w:rFonts w:ascii="Cambria" w:cs="Cambria" w:eastAsia="Cambria" w:hAnsi="Cambria"/>
                <w:u w:val="none"/>
              </w:rPr>
            </w:pPr>
            <w:r w:rsidDel="00000000" w:rsidR="00000000" w:rsidRPr="00000000">
              <w:rPr>
                <w:rFonts w:ascii="Cambria" w:cs="Cambria" w:eastAsia="Cambria" w:hAnsi="Cambria"/>
                <w:rtl w:val="0"/>
              </w:rPr>
              <w:t xml:space="preserve">Remember that principle analysis doesn’t just ride on an abstract sense of unfairness, it rides on the illustration of human costs to the vulnerable stakeholder.</w:t>
            </w:r>
          </w:p>
          <w:p w:rsidR="00000000" w:rsidDel="00000000" w:rsidP="00000000" w:rsidRDefault="00000000" w:rsidRPr="00000000" w14:paraId="00000067">
            <w:pPr>
              <w:widowControl w:val="0"/>
              <w:numPr>
                <w:ilvl w:val="0"/>
                <w:numId w:val="6"/>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Establish that children require consistent, dedicated parental attention during crucial developmental windows that cannot be adequately provided while maintaining intensive career and social commitments. Attachment theory demonstrates that secure bonding in early years requires significant parental availability. Quality time cannot substitute for quantity during critical developmental periods.</w:t>
            </w:r>
          </w:p>
          <w:p w:rsidR="00000000" w:rsidDel="00000000" w:rsidP="00000000" w:rsidRDefault="00000000" w:rsidRPr="00000000" w14:paraId="00000068">
            <w:pPr>
              <w:widowControl w:val="0"/>
              <w:numPr>
                <w:ilvl w:val="0"/>
                <w:numId w:val="5"/>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Point out that childhood development windows are time-limited and irreversible, making parental availability during these periods uniquely important. Career opportunities can be pursued later, but children's formative years happen only once. Missing these crucial periods for career or social goals creates permanent losses that cannot be recovered.</w:t>
            </w:r>
          </w:p>
          <w:p w:rsidR="00000000" w:rsidDel="00000000" w:rsidP="00000000" w:rsidRDefault="00000000" w:rsidRPr="00000000" w14:paraId="00000069">
            <w:pPr>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6A">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Good job offering POIs in the round! </w:t>
            </w:r>
          </w:p>
          <w:p w:rsidR="00000000" w:rsidDel="00000000" w:rsidP="00000000" w:rsidRDefault="00000000" w:rsidRPr="00000000" w14:paraId="0000006B">
            <w:pPr>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6C">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Speaking time: 06:33 - Watch for time!</w:t>
            </w:r>
          </w:p>
        </w:tc>
      </w:tr>
    </w:tbl>
    <w:p w:rsidR="00000000" w:rsidDel="00000000" w:rsidP="00000000" w:rsidRDefault="00000000" w:rsidRPr="00000000" w14:paraId="00000073">
      <w:pPr>
        <w:pageBreakBefore w:val="0"/>
        <w:rPr>
          <w:rFonts w:ascii="Cambria" w:cs="Cambria" w:eastAsia="Cambria" w:hAnsi="Cambria"/>
        </w:rPr>
      </w:pPr>
      <w:r w:rsidDel="00000000" w:rsidR="00000000" w:rsidRPr="00000000">
        <w:rPr>
          <w:rtl w:val="0"/>
        </w:rPr>
      </w:r>
    </w:p>
    <w:p w:rsidR="00000000" w:rsidDel="00000000" w:rsidP="00000000" w:rsidRDefault="00000000" w:rsidRPr="00000000" w14:paraId="00000074">
      <w:pPr>
        <w:pageBreakBefore w:val="0"/>
        <w:rPr>
          <w:rFonts w:ascii="Cambria" w:cs="Cambria" w:eastAsia="Cambria" w:hAnsi="Cambria"/>
        </w:rPr>
      </w:pPr>
      <w:r w:rsidDel="00000000" w:rsidR="00000000" w:rsidRPr="00000000">
        <w:rPr>
          <w:rtl w:val="0"/>
        </w:rPr>
      </w:r>
    </w:p>
    <w:p w:rsidR="00000000" w:rsidDel="00000000" w:rsidP="00000000" w:rsidRDefault="00000000" w:rsidRPr="00000000" w14:paraId="00000075">
      <w:pPr>
        <w:pageBreakBefore w:val="0"/>
        <w:rPr>
          <w:rFonts w:ascii="Cambria" w:cs="Cambria" w:eastAsia="Cambria" w:hAnsi="Cambria"/>
        </w:rPr>
      </w:pPr>
      <w:r w:rsidDel="00000000" w:rsidR="00000000" w:rsidRPr="00000000">
        <w:rPr>
          <w:rtl w:val="0"/>
        </w:rPr>
      </w:r>
    </w:p>
    <w:p w:rsidR="00000000" w:rsidDel="00000000" w:rsidP="00000000" w:rsidRDefault="00000000" w:rsidRPr="00000000" w14:paraId="00000076">
      <w:pPr>
        <w:pageBreakBefore w:val="0"/>
        <w:rPr>
          <w:rFonts w:ascii="Cambria" w:cs="Cambria" w:eastAsia="Cambria" w:hAnsi="Cambria"/>
        </w:rPr>
      </w:pPr>
      <w:r w:rsidDel="00000000" w:rsidR="00000000" w:rsidRPr="00000000">
        <w:rPr>
          <w:rtl w:val="0"/>
        </w:rPr>
      </w:r>
    </w:p>
    <w:sectPr>
      <w:headerReference r:id="rId6" w:type="default"/>
      <w:pgSz w:h="16838" w:w="11906"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7">
    <w:pPr>
      <w:pageBreakBefore w:val="0"/>
      <w:spacing w:line="276" w:lineRule="auto"/>
      <w:jc w:val="center"/>
      <w:rPr/>
    </w:pPr>
    <w:r w:rsidDel="00000000" w:rsidR="00000000" w:rsidRPr="00000000">
      <w:rPr>
        <w:rtl w:val="0"/>
      </w:rPr>
    </w:r>
  </w:p>
  <w:p w:rsidR="00000000" w:rsidDel="00000000" w:rsidP="00000000" w:rsidRDefault="00000000" w:rsidRPr="00000000" w14:paraId="00000078">
    <w:pPr>
      <w:pageBreakBefore w:val="0"/>
      <w:spacing w:line="276" w:lineRule="auto"/>
      <w:rPr>
        <w:rFonts w:ascii="Cambria" w:cs="Cambria" w:eastAsia="Cambria" w:hAnsi="Cambria"/>
      </w:rPr>
    </w:pPr>
    <w:r w:rsidDel="00000000" w:rsidR="00000000" w:rsidRPr="00000000">
      <w:rPr>
        <w:rFonts w:ascii="Cambria" w:cs="Cambria" w:eastAsia="Cambria" w:hAnsi="Cambria"/>
        <w:b w:val="1"/>
        <w:rtl w:val="0"/>
      </w:rPr>
      <w:t xml:space="preserve">Date and class: 10th of September 2025 &amp; PSD III Advanced</w:t>
    </w:r>
    <w:r w:rsidDel="00000000" w:rsidR="00000000" w:rsidRPr="00000000">
      <w:rPr>
        <w:rtl w:val="0"/>
      </w:rPr>
    </w:r>
  </w:p>
  <w:p w:rsidR="00000000" w:rsidDel="00000000" w:rsidP="00000000" w:rsidRDefault="00000000" w:rsidRPr="00000000" w14:paraId="00000079">
    <w:pPr>
      <w:pageBreakBefore w:val="0"/>
      <w:spacing w:line="276" w:lineRule="auto"/>
      <w:jc w:val="center"/>
      <w:rPr/>
    </w:pPr>
    <w:r w:rsidDel="00000000" w:rsidR="00000000" w:rsidRPr="00000000">
      <w:rPr/>
      <w:drawing>
        <wp:inline distB="0" distT="0" distL="0" distR="0">
          <wp:extent cx="2560264" cy="528638"/>
          <wp:effectExtent b="0" l="0" r="0" t="0"/>
          <wp:docPr id="1" name="image1.png"/>
          <a:graphic>
            <a:graphicData uri="http://schemas.openxmlformats.org/drawingml/2006/picture">
              <pic:pic>
                <pic:nvPicPr>
                  <pic:cNvPr id="0" name="image1.png"/>
                  <pic:cNvPicPr preferRelativeResize="0"/>
                </pic:nvPicPr>
                <pic:blipFill>
                  <a:blip r:embed="rId1"/>
                  <a:srcRect b="0" l="-15580" r="-15580" t="0"/>
                  <a:stretch>
                    <a:fillRect/>
                  </a:stretch>
                </pic:blipFill>
                <pic:spPr>
                  <a:xfrm>
                    <a:off x="0" y="0"/>
                    <a:ext cx="2560264" cy="528638"/>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