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Carissa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support space exploration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hook that this pushes for exploration!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analysis on how you can get more people to help, especially because there is a risk of climate disaster, is good!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second argument on technology has more potential to explain!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hook was not delivered strongly enough!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volume was not loud enough today, we need to sound more confident!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Your analysis can go beyond Elon, you can say that competition between different entities is pushing them to do more and better!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some more hand gesture to make our speech appear more natural!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 1:59 - we can do better!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Jean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support space exploration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 aspect in the hook that shows there is a growing trend of space exploration!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we may have space trash, and it might be harmful for us!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there is a high scale of risk involved, you could however explain this with greater detail!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idea that this might mean a lot of waste of resources, because resources need to be used for child care, poverty, and more!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do not need to say the topic at the end of our hook!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want to explain things in extreme ways, eg,there will be no sun, no one can survive, etcetera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addressing child care, or poverty matters more!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work on our speaking style, we are not speaking confidently enough! 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 3:24 - well done!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Carina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support space exploration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Strong delivery of hook, good!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the question answer to the POI, it was prompt!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the possibility of a better future matters most!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clash structure, you used the points of disagreement well!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work on our hand gestures, currently our hands are just frozen and are not moving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Our volume was not loud enough throughout the speech, but only at the beginning of our speech!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Your analysis can go beyond Elon, you can say that competition between different entities is pushing them to do more and better!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 2:40 - well done! 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13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</w:t>
    </w:r>
    <w:r w:rsidDel="00000000" w:rsidR="00000000" w:rsidRPr="00000000">
      <w:rPr>
        <w:rtl w:val="0"/>
      </w:rPr>
      <w:t xml:space="preserve">Clearing Class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