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
          <w:szCs w:val="4"/>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Katniss Cheung</w:t>
            </w:r>
            <w:r w:rsidDel="00000000" w:rsidR="00000000" w:rsidRPr="00000000">
              <w:rPr>
                <w:rtl w:val="0"/>
              </w:rPr>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sz w:val="24"/>
                <w:szCs w:val="24"/>
                <w:rtl w:val="0"/>
              </w:rPr>
              <w:t xml:space="preserve">Topic: </w:t>
            </w:r>
            <w:r w:rsidDel="00000000" w:rsidR="00000000" w:rsidRPr="00000000">
              <w:rPr>
                <w:rtl w:val="0"/>
              </w:rPr>
              <w:t xml:space="preserve">That "soft skills" like communication and teamwork are more important for future jobs than academic knowledge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appreciate that we’re applying the feedback from last week to write our speech in bullet points. We did a good job focusing on the delivery of our speech, instead of just reading it off of the page.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description that having more people in a team will lead to better outcomes as we have more ideas.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done using illustrations why a kind person who can collaborate with others can easily improve their skills over time, whereas the person who is bad at socialising will hurt the goal of the business to attract customers!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job using the correct format for the argument structure, on why the argument is true and why it is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Good job summarising our position in the hook, however, remember that the point of the hook is to grab the attention of the judges! Let’s try to make it more impactful!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 in mind that the debate today is about defending socialising abilities, rather than defending large teams over small teams. So we need to focus on analysing the important value of team work.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our next speech, we can improve on our speech structure! We should include signposting after the hook, and then we can include clear transition points between each argument.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applied today’s skill very well in expanding why the impacts are likely to happen, it would be even better if we also expanded the severity of the impact!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3:52 - Well done! Keep it up!</w:t>
            </w:r>
          </w:p>
        </w:tc>
      </w:tr>
    </w:tbl>
    <w:p w:rsidR="00000000" w:rsidDel="00000000" w:rsidP="00000000" w:rsidRDefault="00000000" w:rsidRPr="00000000" w14:paraId="0000001C">
      <w:pPr>
        <w:jc w:val="left"/>
        <w:rPr>
          <w:b w:val="1"/>
          <w:sz w:val="14"/>
          <w:szCs w:val="14"/>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center"/>
      <w:rPr>
        <w:rFonts w:ascii="EB Garamond" w:cs="EB Garamond" w:eastAsia="EB Garamond" w:hAnsi="EB Garamond"/>
        <w:sz w:val="24"/>
        <w:szCs w:val="24"/>
      </w:rPr>
    </w:pPr>
    <w:r w:rsidDel="00000000" w:rsidR="00000000" w:rsidRPr="00000000">
      <w:rPr>
        <w:rtl w:val="0"/>
      </w:rPr>
      <w:t xml:space="preserve">13 June </w:t>
    </w:r>
    <w:r w:rsidDel="00000000" w:rsidR="00000000" w:rsidRPr="00000000">
      <w:rPr>
        <w:rFonts w:ascii="EB Garamond" w:cs="EB Garamond" w:eastAsia="EB Garamond" w:hAnsi="EB Garamond"/>
        <w:sz w:val="24"/>
        <w:szCs w:val="24"/>
        <w:rtl w:val="0"/>
      </w:rPr>
      <w:t xml:space="preserve">2025 | PSD I, Unit </w:t>
    </w:r>
    <w:r w:rsidDel="00000000" w:rsidR="00000000" w:rsidRPr="00000000">
      <w:rPr>
        <w:rtl w:val="0"/>
      </w:rPr>
      <w:t xml:space="preserve">10.3</w:t>
    </w:r>
    <w:r w:rsidDel="00000000" w:rsidR="00000000" w:rsidRPr="00000000">
      <w:rPr>
        <w:rtl w:val="0"/>
      </w:rPr>
    </w:r>
  </w:p>
  <w:p w:rsidR="00000000" w:rsidDel="00000000" w:rsidP="00000000" w:rsidRDefault="00000000" w:rsidRPr="00000000" w14:paraId="0000001E">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