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Katniss Cheung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parents and teachers should not criticize their children’s artwork even when it is bad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</w:t>
            </w:r>
            <w:r w:rsidDel="00000000" w:rsidR="00000000" w:rsidRPr="00000000">
              <w:rPr>
                <w:rtl w:val="0"/>
              </w:rPr>
              <w:t xml:space="preserve">point how</w:t>
            </w:r>
            <w:r w:rsidDel="00000000" w:rsidR="00000000" w:rsidRPr="00000000">
              <w:rPr>
                <w:rtl w:val="0"/>
              </w:rPr>
              <w:t xml:space="preserve"> saying good things is better because this will help the children feel better!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the children will be happier!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this will help children reach their full potential!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ideas on adult responsibility! I like how you connected good feedback as a responsibility that others ought to follow!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want to start with “I do not think”! Our first words need to be better!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eye contact decreased today. We need to improve that please!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hands rested on the podium for the full-duration of our speech today. We need to have hand gestures for better presentation!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prove how exactly positive feedback will lead to better outcomes for the children!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3:14 – we are not too far away from our personal best but we can also do better! 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23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