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Alex Sin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passionate ones, even if they do not have talent, should be given money!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they can continue learning, and that they would get more experience is a good point!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with this initial support, people can get jobs/ make careers in the long run!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Lets not say “I think” as the first word in speech! Lets start from the “government should” onwards directly.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explain “what” learning they will have with this money from the government, and why will that help!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use CREI structure while presenting arguments!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speak clearly, our speech today was on low volume!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Speaking length: 1:18 – we must do longer!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24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3 [Makeup]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