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Alison Xu 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That we should prioritize mental health and happiness over workplace success.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5 minutes.]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good strength to begin your hook! I appreciate the improvement of your volume!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signposting, and good use of CREI structure in your speech!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analysis that individuals are often happier when they are mentally content with their work and so on!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CREI structure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work more on our hand gestures!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eye contact needs to increase!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on why workplace success does not necessarily translate to mental happiness!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invite your opponent speaker to raise a POI to you!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 3:07 – We can go even further!</w:t>
            </w:r>
          </w:p>
        </w:tc>
      </w:tr>
    </w:tbl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Chloe Xu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That we should prioritize mental health and happiness over workplace success.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[NOTE: Speeches are meant to reach 5 minutes.]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the CREI structure in your speech!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point that workplace happiness comes back to make the individual happier!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rebuttal that your family or loved ones appreciate it when you work for them!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a clear conclusion of your speech!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hook should not be our stance, it needs to be different!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want to do the rebuttals before, and not at the end!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Our eye-contact dropped at the later part of our speech!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further on why it is that mental happiness alone without wealth to some extent means that basic necessities would not be met! 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4:08– We can go even further!</w:t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>
        <w:rtl w:val="0"/>
      </w:rPr>
      <w:t xml:space="preserve">11 June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10.2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