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Dana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major tourist destinations should significantly limit the number of tourists that can visit.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at four minutes!]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clarification of the debate!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in third, you took the time to clear up your stance (because there was a rather lack of clarity in the debate!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was fine!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flag the lack of structural analysis on their arguments in taking them down!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proposition, you could explain why more people get affected.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Clash 1</w:t>
            </w:r>
            <w:r w:rsidDel="00000000" w:rsidR="00000000" w:rsidRPr="00000000">
              <w:rPr>
                <w:rtl w:val="0"/>
              </w:rPr>
              <w:t xml:space="preserve"> Culture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of “right” – but explain “why” the right is not there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frame to call it “luxury” but also explain the psychology behind it!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Clash 2 </w:t>
            </w:r>
            <w:r w:rsidDel="00000000" w:rsidR="00000000" w:rsidRPr="00000000">
              <w:rPr>
                <w:rtl w:val="0"/>
              </w:rPr>
              <w:t xml:space="preserve">Econ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impact “high living cost” a lot more, why is it bad!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affect “economic instability” more, how bad is it!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pauses in our delivery, sounding more clearer!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clearer transition while moving from one argument to the other!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4:32! 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>
        <w:rtl w:val="0"/>
      </w:rPr>
      <w:t xml:space="preserve">29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Clearing Class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