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ban parental monitoring apps.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50"/>
        <w:gridCol w:w="420"/>
        <w:gridCol w:w="525"/>
        <w:gridCol w:w="525"/>
        <w:gridCol w:w="525"/>
        <w:gridCol w:w="525"/>
        <w:tblGridChange w:id="0">
          <w:tblGrid>
            <w:gridCol w:w="7140"/>
            <w:gridCol w:w="750"/>
            <w:gridCol w:w="42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lead with a clear hook!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talked about privacy after this, you could strongly talk about it from the beginning as an example!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parents may feel bad otherwise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 Privacy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the children will feel that they are being watched over all the time!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there might be bullying at school for not using trendy items, and they can struggle!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 you could extend on why privacy matters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we talked about in class, we need to exemplify these arguments!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Consider using an example such as that of medical records. Patients have a right to keep their health information confidential. Breaching this privacy not only violates their rights but undermines their dignity and trust in the healthcare system.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 on Abusive parents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how this can affect children's trust on their parents.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may extend this point to show why this harms the relationship between the child and the parent, and why it matters!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may put the notebook down as opposed to holding it in one hand for the full time, because that limits hand gestures and body posture!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eye contact attempts, but there are prolonged periods where you only look at your notes, we need to limit that!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4:43, good work!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ban parental monitoring apps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35"/>
        <w:gridCol w:w="435"/>
        <w:gridCol w:w="525"/>
        <w:gridCol w:w="525"/>
        <w:gridCol w:w="525"/>
        <w:gridCol w:w="525"/>
        <w:tblGridChange w:id="0">
          <w:tblGrid>
            <w:gridCol w:w="7140"/>
            <w:gridCol w:w="735"/>
            <w:gridCol w:w="435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Excellent hook on how this forces kids to blend-in, and how they get negatively impacted, well done there!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 setup please, it was too quick with less than two sentences!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on safeguarding, but we need analysis here!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how children are malleable, that they do not understand mistakes they make, and that parents can help them!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on connecting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Talk about how parents get to connect meaningfully. This is also contingent on the children receiving it well, talk about why that is likely!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said it can be bad if children are not at all monitored, but we need greater analysis than just saying that!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need to have a clear conclusion!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try to have more natural hand gestures!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your eye contact attempts, but there are prolonged periods where you only look at your notes, we need to limit that!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Speaking time: 1:33, we must speak longer!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2662238</wp:posOffset>
          </wp:positionH>
          <wp:positionV relativeFrom="page">
            <wp:posOffset>657225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sz w:val="20"/>
        <w:szCs w:val="20"/>
        <w:rtl w:val="0"/>
      </w:rPr>
      <w:t xml:space="preserve">3 April 2025 | G7-9 PSD I, Unit 8.1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