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Alison Li</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18"/>
                <w:szCs w:val="18"/>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rtl w:val="0"/>
              </w:rPr>
              <w:t xml:space="preserve">TH supports the usage of video games as an educational tool in schools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b w:val="1"/>
                <w:rtl w:val="0"/>
              </w:rPr>
              <w:t xml:space="preserve">Teacher comments: </w:t>
            </w:r>
            <w:r w:rsidDel="00000000" w:rsidR="00000000" w:rsidRPr="00000000">
              <w:rPr>
                <w:rtl w:val="0"/>
              </w:rPr>
            </w:r>
          </w:p>
          <w:p w:rsidR="00000000" w:rsidDel="00000000" w:rsidP="00000000" w:rsidRDefault="00000000" w:rsidRPr="00000000" w14:paraId="0000004A">
            <w:pPr>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Speaking time:  04:55.71, good work!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hook! I think you need some dramatics though. Try to give me a bit more of an emotional push to the argument.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take a POI right before you are about to get into the good stuff of your argumentation!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before you start characterising that a video game is going to be too fun and or too stimulating, you probably want to talk about how these games came into existence, and how they are designed. </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work telling me about the incentives of these companies; could you tell me why they will be powerful enough to defy the government and their requirements for the games? (Why would the state allow this level of addiction to be a thing?)</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had quite a few good rebuttals; but if you are integrating your rebuttals, you gotta make sure to flag it for me! </w:t>
            </w:r>
          </w:p>
          <w:p w:rsidR="00000000" w:rsidDel="00000000" w:rsidP="00000000" w:rsidRDefault="00000000" w:rsidRPr="00000000" w14:paraId="0000005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structure is a problem in this speech Alison; you gotta go back to building the arguments with the CREI structure - I feel as though you might want to speed things up in preparation time or at least perhaps not write your speech with the level of detail you currently are employing?</w:t>
            </w:r>
          </w:p>
        </w:tc>
      </w:tr>
    </w:tbl>
    <w:p w:rsidR="00000000" w:rsidDel="00000000" w:rsidP="00000000" w:rsidRDefault="00000000" w:rsidRPr="00000000" w14:paraId="00000059">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4th of January 2025 &amp; PSD I Introduction</w:t>
    </w:r>
  </w:p>
  <w:p w:rsidR="00000000" w:rsidDel="00000000" w:rsidP="00000000" w:rsidRDefault="00000000" w:rsidRPr="00000000" w14:paraId="0000005B">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