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rtl w:val="0"/>
              </w:rPr>
              <w:t xml:space="preserve">This House supports regularly reviewing and reducing the number of friendships in your life.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intonation that you had and made; but I think your hook would have really benefitted for a sadder/assertive tone! I think in general, I appreciate the content, it’s just that the content needs to be matched by the tone.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general, if you’re in agreement with the speaker before you about the definitions, you can go ahead and say so!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really appreciate the idea that treating friendships like a business might not be the best idea; but try to tell me why this is the case. Is it because the friendships become transactional? Transactional means that essentially, you are friends with someone purely for what they can give you.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you’re talking about growth - what kind of growth are you talking about? Try to make sure that you are making this clear to me!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I’d like to see more process based analysis from you; this means, I want to see more explanation for how and why the things you’re talking about will happen.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be more responsive! I felt like you promised me some rebuttals, but a lot of the main ideas from Nathan were still standing. </w:t>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Speaking time: 06:05.93, good work! </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15th of March  2025  &amp; PSD I Introduction</w:t>
    </w:r>
  </w:p>
  <w:p w:rsidR="00000000" w:rsidDel="00000000" w:rsidP="00000000" w:rsidRDefault="00000000" w:rsidRPr="00000000" w14:paraId="0000005D">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