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minutes long!]</w:t>
            </w:r>
          </w:p>
          <w:p w:rsidR="00000000" w:rsidDel="00000000" w:rsidP="00000000" w:rsidRDefault="00000000" w:rsidRPr="00000000" w14:paraId="0000004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Rebuttals </w:t>
            </w:r>
          </w:p>
          <w:p w:rsidR="00000000" w:rsidDel="00000000" w:rsidP="00000000" w:rsidRDefault="00000000" w:rsidRPr="00000000" w14:paraId="0000005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Ban meat eating on certain days - the proper response to this is that look, we don’t have the power to do this as the animal rights movement. You also wanna point out that this is going to incur the same anger they talked about earlier!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wanna be clear with me about what the process of shaming is gonna look like! When and where will you use the graphic imagery? </w:t>
            </w:r>
          </w:p>
          <w:p w:rsidR="00000000" w:rsidDel="00000000" w:rsidP="00000000" w:rsidRDefault="00000000" w:rsidRPr="00000000" w14:paraId="00000056">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considering the possible harms of this narrative! You gotta weigh it out though. I'm glad you did some pre-emption! </w:t>
            </w:r>
          </w:p>
          <w:p w:rsidR="00000000" w:rsidDel="00000000" w:rsidP="00000000" w:rsidRDefault="00000000" w:rsidRPr="00000000" w14:paraId="00000057">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make sure that you are explaining </w:t>
            </w:r>
            <w:r w:rsidDel="00000000" w:rsidR="00000000" w:rsidRPr="00000000">
              <w:rPr>
                <w:rFonts w:ascii="Cambria" w:cs="Cambria" w:eastAsia="Cambria" w:hAnsi="Cambria"/>
                <w:b w:val="1"/>
                <w:rtl w:val="0"/>
              </w:rPr>
              <w:t xml:space="preserve">how </w:t>
            </w:r>
            <w:r w:rsidDel="00000000" w:rsidR="00000000" w:rsidRPr="00000000">
              <w:rPr>
                <w:rFonts w:ascii="Cambria" w:cs="Cambria" w:eastAsia="Cambria" w:hAnsi="Cambria"/>
                <w:rtl w:val="0"/>
              </w:rPr>
              <w:t xml:space="preserve">shame will convince people to move away from meat. You wanna do this because if the shaming doesn’t work, your whole case cannot work, since everything is contingent on this. </w:t>
            </w:r>
          </w:p>
          <w:p w:rsidR="00000000" w:rsidDel="00000000" w:rsidP="00000000" w:rsidRDefault="00000000" w:rsidRPr="00000000" w14:paraId="00000058">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answer the </w:t>
            </w:r>
            <w:r w:rsidDel="00000000" w:rsidR="00000000" w:rsidRPr="00000000">
              <w:rPr>
                <w:rFonts w:ascii="Cambria" w:cs="Cambria" w:eastAsia="Cambria" w:hAnsi="Cambria"/>
                <w:b w:val="1"/>
                <w:rtl w:val="0"/>
              </w:rPr>
              <w:t xml:space="preserve">why </w:t>
            </w:r>
            <w:r w:rsidDel="00000000" w:rsidR="00000000" w:rsidRPr="00000000">
              <w:rPr>
                <w:rFonts w:ascii="Cambria" w:cs="Cambria" w:eastAsia="Cambria" w:hAnsi="Cambria"/>
                <w:rtl w:val="0"/>
              </w:rPr>
              <w:t xml:space="preserve">of things - why will the meat eaters become more empathetic, etc?</w:t>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Speaking time: 04:05.36</w:t>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November  2024 &amp; PSD I Introduction</w:t>
    </w:r>
  </w:p>
  <w:p w:rsidR="00000000" w:rsidDel="00000000" w:rsidP="00000000" w:rsidRDefault="00000000" w:rsidRPr="00000000" w14:paraId="00000064">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