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Ellie Fu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regrets the rise of social media over traditional media as a primary source of news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4 minutes’ long due to timing constraints and class size.]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focal point that social media cannot be held accountable, we can make this a more strategic observation, i.e. if both types of media have flaws in reporting, we need to break this deadlock by examining which type can be held more accountable for its flaws.</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signposting, but there should be at least two clashes if both teams have two arguments.</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Nice job flipping the nature of discourse on social media, i.e. no fact-checing</w:t>
            </w:r>
          </w:p>
          <w:p w:rsidR="00000000" w:rsidDel="00000000" w:rsidP="00000000" w:rsidRDefault="00000000" w:rsidRPr="00000000" w14:paraId="00000059">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Aside from just one example, highlight the bigger point which is numbers win in online discourse.</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So the majority can discriminate against the minority.</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Or the wealthy can pay trolls and bots to help them shape the discourse.</w:t>
            </w:r>
          </w:p>
          <w:p w:rsidR="00000000" w:rsidDel="00000000" w:rsidP="00000000" w:rsidRDefault="00000000" w:rsidRPr="00000000" w14:paraId="0000005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are asserting that there are no regulations, but the Opposition has highlighted a few. So we can be more engaging here.</w:t>
            </w:r>
          </w:p>
          <w:p w:rsidR="00000000" w:rsidDel="00000000" w:rsidP="00000000" w:rsidRDefault="00000000" w:rsidRPr="00000000" w14:paraId="0000005D">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their reporting mechanism only occurs after the harm is done.</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misinformation happening online, we are lacking the impact analysis for this premise!</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how the misinformation hurts political choices.</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panic spreading during a crisis, leading to harmful decisions.</w:t>
            </w:r>
          </w:p>
          <w:p w:rsidR="00000000" w:rsidDel="00000000" w:rsidP="00000000" w:rsidRDefault="00000000" w:rsidRPr="00000000" w14:paraId="00000062">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Otherwise, I understand the point of people being stuck in echo chambers, but what is really the harm of this?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call-out that they didn’t propose fact-checking properly.</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 proper because Opp was just ENCOURAGING it. The platform itself isn’t doing anything.</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Broadly good comparisons on why traditional media is still comparatively better!</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4.16 - Watch for time!</w:t>
            </w:r>
            <w:r w:rsidDel="00000000" w:rsidR="00000000" w:rsidRPr="00000000">
              <w:rPr>
                <w:rtl w:val="0"/>
              </w:rPr>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April 2025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