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Daryl Ng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believes that the state should not fund any works of art or performances that the average citizen would not recognise as having artistic merit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25"/>
        <w:gridCol w:w="510"/>
        <w:gridCol w:w="525"/>
        <w:gridCol w:w="525"/>
        <w:tblGridChange w:id="0">
          <w:tblGrid>
            <w:gridCol w:w="7380"/>
            <w:gridCol w:w="525"/>
            <w:gridCol w:w="540"/>
            <w:gridCol w:w="525"/>
            <w:gridCol w:w="510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work starting by establishing what the role of the state must be; but this lacks urgency + we haven’t spent enough time curating our problem identification. We must link this to the taxpayer, we must link this to the duty of the state to ensure that people are happy/get enjoyment/feel represented - we want to deal with the push from Opp that art is inherently subjective; and say that this isn’t a debate about this. 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Set-up - have clear steps/parts to this - it is currently structureless.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saying the private sphere still exists.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is a debate about what kind of art the state should fund; we want to push a counterfactual of what the state would fund in place of this, and why that is worse - so for instance, why people will like rap, or art by working class people (think Rivera working class/industrial murals) versus traditional, high brow art. Specify why their money must be used to uplift them.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diversity - the same comment applies; explain what metrics the state uses at presently - and why they have to change.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what kind of art your side will end up funding + will not; illustrations and examples are missing!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must frame this to be not controversial + a straightforward decision in that there's a general consensus about what constitutes quality and value in art. Works that are poorly executed, lack creativity, or fail to resonate with a broader audience shouldn't receive public funding. </w:t>
            </w:r>
          </w:p>
          <w:p w:rsidR="00000000" w:rsidDel="00000000" w:rsidP="00000000" w:rsidRDefault="00000000" w:rsidRPr="00000000" w14:paraId="0000005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have to have more energy and variation in our voice. It’s difficult to register when you’re transitioning, when something matters, when something is urgent. 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starting by establishing the duty of the state.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State funding comes from taxpayers. The government has a responsibility to ensure these funds are used in ways the public supports.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Would these images (distressing menstrual art performance pieces) be funded in the counterfactual?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analyse what the purpose of art should be/what this funding means in terms of the art that is produced, the museums and galleries that prop up, exhibitions that get support.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how art becomes more accessible - in the CF, following traditional guidelines they might end up funding avant-garde works that only a small, specialized audience appreciates, creating a sense of elitism and excluding the average person from engaging with publicly funded art.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impact of this argument? 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07:00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</w:t>
    </w:r>
    <w:r w:rsidDel="00000000" w:rsidR="00000000" w:rsidRPr="00000000">
      <w:rPr>
        <w:b w:val="1"/>
        <w:rtl w:val="0"/>
      </w:rPr>
      <w:t xml:space="preserve"> 30 May 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202</w:t>
    </w:r>
    <w:r w:rsidDel="00000000" w:rsidR="00000000" w:rsidRPr="00000000">
      <w:rPr>
        <w:b w:val="1"/>
        <w:rtl w:val="0"/>
      </w:rPr>
      <w:t xml:space="preserve">5 - PSD III Advanced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ageBreakBefore w:val="0"/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