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Annabel Cheung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reading the opening. We need to speak more conversationally, rather than the almost essay-like sentence structure we have. Excellent opening however, on that this is the burden of the state, rather than the burden of children; link to the lack of consent point your first speaker made all up above.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how with larger families, and with the financial burden that exists; we do however, completely ignore the analysis Peyton gives on the gap in welfare services; engage with this problem - point out how existing checks and balances exist - how or why critical mass on nursing homes/quality of care can lead to better care.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relationship - fair on how this is a bit of silly argument; ask why this is in any way exclusive, or unique; point out existing incentives for parents to just be better at raising their children.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Extension arguments? What is the structure of this speech? You’re speaking third - give me two clashes, no extensions!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analysis on the social contract and the nature of the government -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back to the moral obligation argument made earlier; on time - does Prop require lots of time - is economic productivity down the gutter? You have to establish why this law would require lots of time; care would require this - this needs to be true for the burden on these children to exist. The impact is clear, you need to explain why it exists in the first place. 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does it mean to promote a moral duty? Why are we okay with this, but not a legal duty? 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05:30 - structure!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ask POIs consistently! One per speech minimum next time!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6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