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Clear summation of what the push from your side will be. The issue is that we’re practically exclusively reading this out. We need to deliver our speech while making clear eye contact with the judge and audience.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 need to set-up the debate clearly; we explain what the status quo is, as well as what is incorrect with this in terms of limitations of observations by principals. However, we need to unpack this all in the format of framing, a model, and burdens/stance.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Will there be safeguards, or will we take everything that students say at face value? Will this apply to primary school, or just secondary school?</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We need to formally transition into arguments; this speech lacks structure.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Why do students eliminate the types of teachers you claim to? What is the reasoning behind this? What priorities and incentives do students have? Why is this the only check or balance against bad teaching? Is this an exclusive solution? </w:t>
            </w:r>
          </w:p>
          <w:p w:rsidR="00000000" w:rsidDel="00000000" w:rsidP="00000000" w:rsidRDefault="00000000" w:rsidRPr="00000000" w14:paraId="0000005B">
            <w:pPr>
              <w:widowControl w:val="0"/>
              <w:ind w:left="0" w:firstLine="0"/>
              <w:rPr/>
            </w:pPr>
            <w:r w:rsidDel="00000000" w:rsidR="00000000" w:rsidRPr="00000000">
              <w:rPr>
                <w:rtl w:val="0"/>
              </w:rPr>
            </w:r>
          </w:p>
          <w:p w:rsidR="00000000" w:rsidDel="00000000" w:rsidP="00000000" w:rsidRDefault="00000000" w:rsidRPr="00000000" w14:paraId="0000005C">
            <w:pPr>
              <w:widowControl w:val="0"/>
              <w:ind w:left="0" w:firstLine="0"/>
              <w:rPr/>
            </w:pPr>
            <w:r w:rsidDel="00000000" w:rsidR="00000000" w:rsidRPr="00000000">
              <w:rPr>
                <w:rtl w:val="0"/>
              </w:rPr>
              <w:t xml:space="preserve">My question is - what stops the Opposition from factoring in student feedback alongside feedback from other factors? What is unique about this model? We need to analyse why students know best. Why are they the best measures of what is good and not? What kind of characteristics will students reward and not and why? </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Good on the impact of teachers on learning outcomes. Don’t say ‘above situation’ - this is </w:t>
            </w:r>
            <w:r w:rsidDel="00000000" w:rsidR="00000000" w:rsidRPr="00000000">
              <w:rPr>
                <w:rtl w:val="0"/>
              </w:rPr>
              <w:t xml:space="preserve">not debate</w:t>
            </w:r>
            <w:r w:rsidDel="00000000" w:rsidR="00000000" w:rsidRPr="00000000">
              <w:rPr>
                <w:rtl w:val="0"/>
              </w:rPr>
              <w:t xml:space="preserve"> speak. Explain why good teaching is the single most important factor in student performance. </w:t>
            </w:r>
          </w:p>
          <w:p w:rsidR="00000000" w:rsidDel="00000000" w:rsidP="00000000" w:rsidRDefault="00000000" w:rsidRPr="00000000" w14:paraId="0000005F">
            <w:pPr>
              <w:widowControl w:val="0"/>
              <w:ind w:left="0" w:firstLine="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Clear answer to the POI. Good job! We want to make sure we’re accounting for even the fairest and most objective school boards, as correct as you may be.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need to make more eye contact. Write your notes in bigger handwriting so you aren’t so concerned about reading stuff out. We also need to speak with more confidence!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04:17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ind w:left="720" w:firstLine="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spacing w:line="276" w:lineRule="auto"/>
      <w:jc w:val="center"/>
      <w:rPr/>
    </w:pPr>
    <w:r w:rsidDel="00000000" w:rsidR="00000000" w:rsidRPr="00000000">
      <w:rPr>
        <w:rtl w:val="0"/>
      </w:rPr>
    </w:r>
  </w:p>
  <w:p w:rsidR="00000000" w:rsidDel="00000000" w:rsidP="00000000" w:rsidRDefault="00000000" w:rsidRPr="00000000" w14:paraId="0000007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20</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07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