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EXP-05 – ATLAS.ti Analysis Transcript</w:t>
      </w:r>
    </w:p>
    <w:p>
      <w:pPr>
        <w:pStyle w:val="MethodNote"/>
      </w:pPr>
      <w:r>
        <w:t>Methodological note: The source supplied for EXP-05 consists of condensed interview notes rather than a full automatic transcript. The notes were standardised against the same Q1–Q14 expert interview guide used for EXP-01 to EXP-04. Guide questions are included as structural anchors and should not be treated as verbatim reconstructions of the interviewer’s wording. The expert’s recorded notes were lightly cleaned for grammar, terminology, and readability while preserving their substantive meaning. No missing answers were inferred or created, and no thematic coding was added. Where a note could reasonably relate to more than one guide question, this is made explicit rather than duplicating the response. Identifying names and supplier-specific references were generalised where necessary for pseudonymisation.</w:t>
      </w:r>
    </w:p>
    <w:tbl>
      <w:tblPr>
        <w:tblStyle w:val="TableGrid"/>
        <w:tblW w:type="auto" w:w="0"/>
        <w:tblLook w:firstColumn="1" w:firstRow="1" w:lastColumn="0" w:lastRow="0" w:noHBand="0" w:noVBand="1" w:val="04A0"/>
      </w:tblPr>
      <w:tblGrid>
        <w:gridCol w:w="4896"/>
        <w:gridCol w:w="4896"/>
      </w:tblGrid>
      <w:tr>
        <w:tc>
          <w:tcPr>
            <w:tcW w:type="dxa" w:w="4896"/>
          </w:tcPr>
          <w:p>
            <w:r>
              <w:t>Participant ID</w:t>
            </w:r>
          </w:p>
        </w:tc>
        <w:tc>
          <w:tcPr>
            <w:tcW w:type="dxa" w:w="4896"/>
          </w:tcPr>
          <w:p>
            <w:r>
              <w:t>EXP-05</w:t>
            </w:r>
          </w:p>
        </w:tc>
      </w:tr>
      <w:tr>
        <w:tc>
          <w:tcPr>
            <w:tcW w:type="dxa" w:w="4896"/>
          </w:tcPr>
          <w:p>
            <w:r>
              <w:t>Interview date</w:t>
            </w:r>
          </w:p>
        </w:tc>
        <w:tc>
          <w:tcPr>
            <w:tcW w:type="dxa" w:w="4896"/>
          </w:tcPr>
          <w:p>
            <w:r>
              <w:t>Not recorded in supplied notes</w:t>
            </w:r>
          </w:p>
        </w:tc>
      </w:tr>
      <w:tr>
        <w:tc>
          <w:tcPr>
            <w:tcW w:type="dxa" w:w="4896"/>
          </w:tcPr>
          <w:p>
            <w:r>
              <w:t>Duration</w:t>
            </w:r>
          </w:p>
        </w:tc>
        <w:tc>
          <w:tcPr>
            <w:tcW w:type="dxa" w:w="4896"/>
          </w:tcPr>
          <w:p>
            <w:r>
              <w:t>Not recorded in supplied notes</w:t>
            </w:r>
          </w:p>
        </w:tc>
      </w:tr>
      <w:tr>
        <w:tc>
          <w:tcPr>
            <w:tcW w:type="dxa" w:w="4896"/>
          </w:tcPr>
          <w:p>
            <w:r>
              <w:t>Transcript type</w:t>
            </w:r>
          </w:p>
        </w:tc>
        <w:tc>
          <w:tcPr>
            <w:tcW w:type="dxa" w:w="4896"/>
          </w:tcPr>
          <w:p>
            <w:r>
              <w:t>Cleaned interview notes / standardised ATLAS.ti transcript</w:t>
            </w:r>
          </w:p>
        </w:tc>
      </w:tr>
      <w:tr>
        <w:tc>
          <w:tcPr>
            <w:tcW w:type="dxa" w:w="4896"/>
          </w:tcPr>
          <w:p>
            <w:r>
              <w:t>Pseudonymisation</w:t>
            </w:r>
          </w:p>
        </w:tc>
        <w:tc>
          <w:tcPr>
            <w:tcW w:type="dxa" w:w="4896"/>
          </w:tcPr>
          <w:p>
            <w:r>
              <w:t>Applied</w:t>
            </w:r>
          </w:p>
        </w:tc>
      </w:tr>
      <w:tr>
        <w:tc>
          <w:tcPr>
            <w:tcW w:type="dxa" w:w="4896"/>
          </w:tcPr>
          <w:p>
            <w:r>
              <w:t>Speaker labels</w:t>
            </w:r>
          </w:p>
        </w:tc>
        <w:tc>
          <w:tcPr>
            <w:tcW w:type="dxa" w:w="4896"/>
          </w:tcPr>
          <w:p>
            <w:r>
              <w:t>Interviewer / EXP-05</w:t>
            </w:r>
          </w:p>
        </w:tc>
      </w:tr>
      <w:tr>
        <w:tc>
          <w:tcPr>
            <w:tcW w:type="dxa" w:w="4896"/>
          </w:tcPr>
          <w:p>
            <w:r>
              <w:t>Question framework</w:t>
            </w:r>
          </w:p>
        </w:tc>
        <w:tc>
          <w:tcPr>
            <w:tcW w:type="dxa" w:w="4896"/>
          </w:tcPr>
          <w:p>
            <w:r>
              <w:t>Q1–Q14 expert interview guide</w:t>
            </w:r>
          </w:p>
        </w:tc>
      </w:tr>
    </w:tbl>
    <w:p>
      <w:pPr>
        <w:pStyle w:val="Heading1"/>
      </w:pPr>
      <w:r>
        <w:t>Transcript</w:t>
      </w:r>
    </w:p>
    <w:p>
      <w:pPr>
        <w:pStyle w:val="Heading2"/>
      </w:pPr>
      <w:r>
        <w:t>Opening and Consent</w:t>
      </w:r>
    </w:p>
    <w:p>
      <w:pPr/>
      <w:r>
        <w:rPr>
          <w:b/>
        </w:rPr>
        <w:t xml:space="preserve">Transcript note: </w:t>
      </w:r>
      <w:r>
        <w:t>The opening statement, consent response, interview date, and interview duration were not included in the supplied EXP-05 notes.</w:t>
      </w:r>
    </w:p>
    <w:p>
      <w:pPr>
        <w:pStyle w:val="Heading2"/>
      </w:pPr>
      <w:r>
        <w:t>2.1 Architectural Completeness</w:t>
      </w:r>
    </w:p>
    <w:p>
      <w:pPr/>
      <w:r>
        <w:rPr>
          <w:b/>
        </w:rPr>
        <w:t xml:space="preserve">Interviewer [Q1]: </w:t>
      </w:r>
      <w:r>
        <w:t>Looking at the proposed architecture as a whole, do you think it contains the main functions and system areas required for a modern marine fire-suppression system?</w:t>
      </w:r>
    </w:p>
    <w:p>
      <w:pPr/>
      <w:r>
        <w:rPr>
          <w:b/>
        </w:rPr>
        <w:t xml:space="preserve">EXP-05: </w:t>
      </w:r>
      <w:r>
        <w:t>It looks concise and good. It contains the basic things we have, including connection to third-party systems.</w:t>
      </w:r>
    </w:p>
    <w:p>
      <w:pPr/>
      <w:r>
        <w:rPr>
          <w:b/>
        </w:rPr>
        <w:t xml:space="preserve">Interviewer [Q2]: </w:t>
      </w:r>
      <w:r>
        <w:t>Are there any important components, functions, interfaces, or architectural considerations that you believe are missing?</w:t>
      </w:r>
    </w:p>
    <w:p>
      <w:pPr/>
      <w:r>
        <w:rPr>
          <w:b/>
        </w:rPr>
        <w:t xml:space="preserve">EXP-05: </w:t>
      </w:r>
      <w:r>
        <w:t>No. It has everything.</w:t>
      </w:r>
    </w:p>
    <w:p>
      <w:pPr/>
      <w:r>
        <w:rPr>
          <w:b/>
        </w:rPr>
        <w:t xml:space="preserve">Interviewer [Q2 follow-up]: </w:t>
      </w:r>
      <w:r>
        <w:t>Do you see any unnecessary complexity in the architecture?</w:t>
      </w:r>
    </w:p>
    <w:p>
      <w:pPr/>
      <w:r>
        <w:rPr>
          <w:b/>
        </w:rPr>
        <w:t xml:space="preserve">EXP-05: </w:t>
      </w:r>
      <w:r>
        <w:t>I think it is quite simplified.</w:t>
      </w:r>
    </w:p>
    <w:p>
      <w:pPr>
        <w:pStyle w:val="Heading2"/>
      </w:pPr>
      <w:r>
        <w:t>2.2 Security Zones and Marine System Integration</w:t>
      </w:r>
    </w:p>
    <w:p>
      <w:pPr/>
      <w:r>
        <w:rPr>
          <w:b/>
        </w:rPr>
        <w:t xml:space="preserve">Interviewer [Q3]: </w:t>
      </w:r>
      <w:r>
        <w:t>From a marine system-integration perspective, does the proposed separation between safety-critical functions, supervisory functions, maintenance access, and external or customer networks reflect how such a system should realistically be integrated onboard a vessel?</w:t>
      </w:r>
    </w:p>
    <w:p>
      <w:pPr/>
      <w:r>
        <w:rPr>
          <w:b/>
        </w:rPr>
        <w:t xml:space="preserve">EXP-05: </w:t>
      </w:r>
      <w:r>
        <w:t>Yes.</w:t>
      </w:r>
    </w:p>
    <w:p>
      <w:pPr/>
      <w:r>
        <w:rPr>
          <w:b/>
        </w:rPr>
        <w:t xml:space="preserve">Interviewer [Q4 follow-up]: </w:t>
      </w:r>
      <w:r>
        <w:t>Are the proposed boundaries and maintenance-access arrangements realistic in practice?</w:t>
      </w:r>
    </w:p>
    <w:p>
      <w:pPr/>
      <w:r>
        <w:rPr>
          <w:b/>
        </w:rPr>
        <w:t xml:space="preserve">EXP-05: </w:t>
      </w:r>
      <w:r>
        <w:t>Yes. Temporary access should also be considered when service personnel go to the customer site.</w:t>
      </w:r>
    </w:p>
    <w:p>
      <w:pPr/>
      <w:r>
        <w:rPr>
          <w:b/>
        </w:rPr>
        <w:t xml:space="preserve">Interviewer [Q4 / Q9 follow-up]: </w:t>
      </w:r>
      <w:r>
        <w:t>What cybersecurity risk should be considered for temporary onsite service access?</w:t>
      </w:r>
    </w:p>
    <w:p>
      <w:pPr/>
      <w:r>
        <w:rPr>
          <w:b/>
        </w:rPr>
        <w:t xml:space="preserve">EXP-05: </w:t>
      </w:r>
      <w:r>
        <w:t>Someone could compromise a service computer and, when that computer is taken onsite for service, malware could be introduced into the system.</w:t>
      </w:r>
    </w:p>
    <w:p>
      <w:pPr/>
      <w:r>
        <w:rPr>
          <w:b/>
        </w:rPr>
        <w:t xml:space="preserve">Interviewer [Q4 / Q6 follow-up]: </w:t>
      </w:r>
      <w:r>
        <w:t>How should supplier access to the system be limited?</w:t>
      </w:r>
    </w:p>
    <w:p>
      <w:pPr/>
      <w:r>
        <w:rPr>
          <w:b/>
        </w:rPr>
        <w:t xml:space="preserve">EXP-05: </w:t>
      </w:r>
      <w:r>
        <w:t>We only want to access our own system. HMI panels can be viewed locally, while PLC software should only be accessible with password protection.</w:t>
      </w:r>
    </w:p>
    <w:p>
      <w:pPr>
        <w:pStyle w:val="Heading2"/>
      </w:pPr>
      <w:r>
        <w:t>2.3 Cyber Resilience and Preservation of Essential Functions</w:t>
      </w:r>
    </w:p>
    <w:p>
      <w:pPr/>
      <w:r>
        <w:rPr>
          <w:b/>
        </w:rPr>
        <w:t xml:space="preserve">Interviewer [Q5]: </w:t>
      </w:r>
      <w:r>
        <w:t>If communication, supervisory functions, maintenance connectivity, or an external network connection were unavailable or compromised, do you think the proposed architecture would adequately preserve the essential fire-detection, alarm, control, and suppression functions?</w:t>
      </w:r>
    </w:p>
    <w:p>
      <w:pPr/>
      <w:r>
        <w:rPr>
          <w:b/>
        </w:rPr>
        <w:t xml:space="preserve">EXP-05: </w:t>
      </w:r>
      <w:r>
        <w:t>It will work by itself. We can also use the manual releases.</w:t>
      </w:r>
    </w:p>
    <w:p>
      <w:pPr/>
      <w:r>
        <w:rPr>
          <w:b/>
        </w:rPr>
        <w:t xml:space="preserve">Interviewer [Q5 follow-up]: </w:t>
      </w:r>
      <w:r>
        <w:t>Is continued or failover operation realistic?</w:t>
      </w:r>
    </w:p>
    <w:p>
      <w:pPr/>
      <w:r>
        <w:rPr>
          <w:b/>
        </w:rPr>
        <w:t xml:space="preserve">EXP-05: </w:t>
      </w:r>
      <w:r>
        <w:t>It is realistic.</w:t>
      </w:r>
    </w:p>
    <w:p>
      <w:pPr/>
      <w:r>
        <w:rPr>
          <w:b/>
        </w:rPr>
        <w:t xml:space="preserve">Interviewer [Q5 follow-up]: </w:t>
      </w:r>
      <w:r>
        <w:t>Should the system be able to operate independently of supervisory or external networks?</w:t>
      </w:r>
    </w:p>
    <w:p>
      <w:pPr/>
      <w:r>
        <w:rPr>
          <w:b/>
        </w:rPr>
        <w:t xml:space="preserve">EXP-05: </w:t>
      </w:r>
      <w:r>
        <w:t>Yes.</w:t>
      </w:r>
    </w:p>
    <w:p>
      <w:pPr>
        <w:pStyle w:val="Heading2"/>
      </w:pPr>
      <w:r>
        <w:t>2.4 Cybersecurity and Maintainability</w:t>
      </w:r>
    </w:p>
    <w:p>
      <w:pPr/>
      <w:r>
        <w:rPr>
          <w:b/>
        </w:rPr>
        <w:t xml:space="preserve">Interviewer [Q6 follow-up]: </w:t>
      </w:r>
      <w:r>
        <w:t>What would you improve in the monitoring or data-connection arrangement?</w:t>
      </w:r>
    </w:p>
    <w:p>
      <w:pPr/>
      <w:r>
        <w:rPr>
          <w:b/>
        </w:rPr>
        <w:t xml:space="preserve">EXP-05: </w:t>
      </w:r>
      <w:r>
        <w:t>The data connection should support real-time data, with information stored locally and available for extraction when needed.</w:t>
      </w:r>
    </w:p>
    <w:p>
      <w:pPr/>
      <w:r>
        <w:rPr>
          <w:b/>
        </w:rPr>
        <w:t xml:space="preserve">Transcript note: </w:t>
      </w:r>
      <w:r>
        <w:t>Q7 was not directly covered in the supplied interview notes.</w:t>
      </w:r>
    </w:p>
    <w:p>
      <w:pPr>
        <w:pStyle w:val="Heading2"/>
      </w:pPr>
      <w:r>
        <w:t>2.5 Fault and Cyber-Threat Assessment</w:t>
      </w:r>
    </w:p>
    <w:p>
      <w:pPr/>
      <w:r>
        <w:rPr>
          <w:b/>
        </w:rPr>
        <w:t xml:space="preserve">Transcript note: </w:t>
      </w:r>
      <w:r>
        <w:t>A service-computer malware-injection risk was recorded earlier under Q4 / Q9. No separate responses to Q8 or Q10 were identifiable in the supplied notes.</w:t>
      </w:r>
    </w:p>
    <w:p>
      <w:pPr>
        <w:pStyle w:val="Heading2"/>
      </w:pPr>
      <w:r>
        <w:t>2.6 Industrial Applicability and Approval</w:t>
      </w:r>
    </w:p>
    <w:p>
      <w:pPr/>
      <w:r>
        <w:rPr>
          <w:b/>
        </w:rPr>
        <w:t xml:space="preserve">Interviewer [Q11]: </w:t>
      </w:r>
      <w:r>
        <w:t>If this framework were used to guide the design or review of a future marine fire-suppression system, would you consider it useful in an industrial project?</w:t>
      </w:r>
    </w:p>
    <w:p>
      <w:pPr/>
      <w:r>
        <w:rPr>
          <w:b/>
        </w:rPr>
        <w:t xml:space="preserve">EXP-05: </w:t>
      </w:r>
      <w:r>
        <w:t>It could be implemented for most vessels, except military vessels.</w:t>
      </w:r>
    </w:p>
    <w:p>
      <w:pPr/>
      <w:r>
        <w:rPr>
          <w:b/>
        </w:rPr>
        <w:t xml:space="preserve">Interviewer [Q12 follow-up]: </w:t>
      </w:r>
      <w:r>
        <w:t>Are there vessel types or stakeholder concerns that could make adoption more difficult?</w:t>
      </w:r>
    </w:p>
    <w:p>
      <w:pPr/>
      <w:r>
        <w:rPr>
          <w:b/>
        </w:rPr>
        <w:t xml:space="preserve">EXP-05: </w:t>
      </w:r>
      <w:r>
        <w:t>For yachts, privacy may also be a concern.</w:t>
      </w:r>
    </w:p>
    <w:p>
      <w:pPr/>
      <w:r>
        <w:rPr>
          <w:b/>
        </w:rPr>
        <w:t xml:space="preserve">Transcript note: </w:t>
      </w:r>
      <w:r>
        <w:t>No further Q12 approval or documentation requirements were recorded in the supplied notes.</w:t>
      </w:r>
    </w:p>
    <w:p>
      <w:pPr>
        <w:pStyle w:val="Heading2"/>
      </w:pPr>
      <w:r>
        <w:t>2.7 Wrap-Up</w:t>
      </w:r>
    </w:p>
    <w:p>
      <w:pPr/>
      <w:r>
        <w:rPr>
          <w:b/>
        </w:rPr>
        <w:t xml:space="preserve">Interviewer [Q13 / Q14]: </w:t>
      </w:r>
      <w:r>
        <w:t>Considering the architecture overall, what is the most important remaining weakness, improvement opportunity, or additional consideration?</w:t>
      </w:r>
    </w:p>
    <w:p>
      <w:pPr/>
      <w:r>
        <w:rPr>
          <w:b/>
        </w:rPr>
        <w:t xml:space="preserve">EXP-05: </w:t>
      </w:r>
      <w:r>
        <w:t>There is always a risk when connecting to a network. Networks should therefore be isolated even inside the ship, for example by using a Modbus RTU serial connection where appropriate.</w:t>
      </w:r>
    </w:p>
    <w:p>
      <w:pPr/>
      <w:r>
        <w:rPr>
          <w:b/>
        </w:rPr>
        <w:t xml:space="preserve">Transcript note: </w:t>
      </w:r>
      <w:r>
        <w:t>Q13 and Q14 were not recorded as separate responses in the source notes; the final network-isolation comment is retained once and mapped to both wrap-up topics.</w:t>
      </w:r>
    </w:p>
    <w:p>
      <w:pPr>
        <w:pStyle w:val="Heading1"/>
        <w:pageBreakBefore/>
      </w:pPr>
      <w:r>
        <w:t>Q1–Q14 Question Map</w:t>
      </w:r>
    </w:p>
    <w:tbl>
      <w:tblPr>
        <w:tblStyle w:val="TableGrid"/>
        <w:tblW w:type="auto" w:w="0"/>
        <w:tblLook w:firstColumn="1" w:firstRow="1" w:lastColumn="0" w:lastRow="0" w:noHBand="0" w:noVBand="1" w:val="04A0"/>
      </w:tblPr>
      <w:tblGrid>
        <w:gridCol w:w="4896"/>
        <w:gridCol w:w="4896"/>
      </w:tblGrid>
      <w:tr>
        <w:tc>
          <w:tcPr>
            <w:tcW w:type="dxa" w:w="4896"/>
          </w:tcPr>
          <w:p>
            <w:r>
              <w:t>ID</w:t>
            </w:r>
          </w:p>
        </w:tc>
        <w:tc>
          <w:tcPr>
            <w:tcW w:type="dxa" w:w="4896"/>
          </w:tcPr>
          <w:p>
            <w:r>
              <w:t>Guide topic</w:t>
            </w:r>
          </w:p>
        </w:tc>
      </w:tr>
      <w:tr>
        <w:tc>
          <w:tcPr>
            <w:tcW w:type="dxa" w:w="4896"/>
          </w:tcPr>
          <w:p>
            <w:r>
              <w:t>Q1</w:t>
            </w:r>
          </w:p>
        </w:tc>
        <w:tc>
          <w:tcPr>
            <w:tcW w:type="dxa" w:w="4896"/>
          </w:tcPr>
          <w:p>
            <w:r>
              <w:t>Architectural completeness</w:t>
            </w:r>
          </w:p>
        </w:tc>
      </w:tr>
      <w:tr>
        <w:tc>
          <w:tcPr>
            <w:tcW w:type="dxa" w:w="4896"/>
          </w:tcPr>
          <w:p>
            <w:r>
              <w:t>Q2</w:t>
            </w:r>
          </w:p>
        </w:tc>
        <w:tc>
          <w:tcPr>
            <w:tcW w:type="dxa" w:w="4896"/>
          </w:tcPr>
          <w:p>
            <w:r>
              <w:t>Missing components, functions, interfaces, or unnecessary complexity</w:t>
            </w:r>
          </w:p>
        </w:tc>
      </w:tr>
      <w:tr>
        <w:tc>
          <w:tcPr>
            <w:tcW w:type="dxa" w:w="4896"/>
          </w:tcPr>
          <w:p>
            <w:r>
              <w:t>Q3</w:t>
            </w:r>
          </w:p>
        </w:tc>
        <w:tc>
          <w:tcPr>
            <w:tcW w:type="dxa" w:w="4896"/>
          </w:tcPr>
          <w:p>
            <w:r>
              <w:t>Realistic onboard separation and system integration</w:t>
            </w:r>
          </w:p>
        </w:tc>
      </w:tr>
      <w:tr>
        <w:tc>
          <w:tcPr>
            <w:tcW w:type="dxa" w:w="4896"/>
          </w:tcPr>
          <w:p>
            <w:r>
              <w:t>Q4</w:t>
            </w:r>
          </w:p>
        </w:tc>
        <w:tc>
          <w:tcPr>
            <w:tcW w:type="dxa" w:w="4896"/>
          </w:tcPr>
          <w:p>
            <w:r>
              <w:t>Supplier-system integration considerations</w:t>
            </w:r>
          </w:p>
        </w:tc>
      </w:tr>
      <w:tr>
        <w:tc>
          <w:tcPr>
            <w:tcW w:type="dxa" w:w="4896"/>
          </w:tcPr>
          <w:p>
            <w:r>
              <w:t>Q5</w:t>
            </w:r>
          </w:p>
        </w:tc>
        <w:tc>
          <w:tcPr>
            <w:tcW w:type="dxa" w:w="4896"/>
          </w:tcPr>
          <w:p>
            <w:r>
              <w:t>Preservation of essential functions during loss/compromise</w:t>
            </w:r>
          </w:p>
        </w:tc>
      </w:tr>
      <w:tr>
        <w:tc>
          <w:tcPr>
            <w:tcW w:type="dxa" w:w="4896"/>
          </w:tcPr>
          <w:p>
            <w:r>
              <w:t>Q6</w:t>
            </w:r>
          </w:p>
        </w:tc>
        <w:tc>
          <w:tcPr>
            <w:tcW w:type="dxa" w:w="4896"/>
          </w:tcPr>
          <w:p>
            <w:r>
              <w:t>Practical cybersecurity measures</w:t>
            </w:r>
          </w:p>
        </w:tc>
      </w:tr>
      <w:tr>
        <w:tc>
          <w:tcPr>
            <w:tcW w:type="dxa" w:w="4896"/>
          </w:tcPr>
          <w:p>
            <w:r>
              <w:t>Q7</w:t>
            </w:r>
          </w:p>
        </w:tc>
        <w:tc>
          <w:tcPr>
            <w:tcW w:type="dxa" w:w="4896"/>
          </w:tcPr>
          <w:p>
            <w:r>
              <w:t>Operational, commissioning, service, or maintenance difficulties</w:t>
            </w:r>
          </w:p>
        </w:tc>
      </w:tr>
      <w:tr>
        <w:tc>
          <w:tcPr>
            <w:tcW w:type="dxa" w:w="4896"/>
          </w:tcPr>
          <w:p>
            <w:r>
              <w:t>Q8</w:t>
            </w:r>
          </w:p>
        </w:tc>
        <w:tc>
          <w:tcPr>
            <w:tcW w:type="dxa" w:w="4896"/>
          </w:tcPr>
          <w:p>
            <w:r>
              <w:t>Realism of fault and cyber-threat scenarios</w:t>
            </w:r>
          </w:p>
        </w:tc>
      </w:tr>
      <w:tr>
        <w:tc>
          <w:tcPr>
            <w:tcW w:type="dxa" w:w="4896"/>
          </w:tcPr>
          <w:p>
            <w:r>
              <w:t>Q9</w:t>
            </w:r>
          </w:p>
        </w:tc>
        <w:tc>
          <w:tcPr>
            <w:tcW w:type="dxa" w:w="4896"/>
          </w:tcPr>
          <w:p>
            <w:r>
              <w:t>Missing failure modes or cybersecurity scenarios</w:t>
            </w:r>
          </w:p>
        </w:tc>
      </w:tr>
      <w:tr>
        <w:tc>
          <w:tcPr>
            <w:tcW w:type="dxa" w:w="4896"/>
          </w:tcPr>
          <w:p>
            <w:r>
              <w:t>Q10</w:t>
            </w:r>
          </w:p>
        </w:tc>
        <w:tc>
          <w:tcPr>
            <w:tcW w:type="dxa" w:w="4896"/>
          </w:tcPr>
          <w:p>
            <w:r>
              <w:t>Sufficiency of architectural safeguards</w:t>
            </w:r>
          </w:p>
        </w:tc>
      </w:tr>
      <w:tr>
        <w:tc>
          <w:tcPr>
            <w:tcW w:type="dxa" w:w="4896"/>
          </w:tcPr>
          <w:p>
            <w:r>
              <w:t>Q11</w:t>
            </w:r>
          </w:p>
        </w:tc>
        <w:tc>
          <w:tcPr>
            <w:tcW w:type="dxa" w:w="4896"/>
          </w:tcPr>
          <w:p>
            <w:r>
              <w:t>Industrial usefulness of the framework</w:t>
            </w:r>
          </w:p>
        </w:tc>
      </w:tr>
      <w:tr>
        <w:tc>
          <w:tcPr>
            <w:tcW w:type="dxa" w:w="4896"/>
          </w:tcPr>
          <w:p>
            <w:r>
              <w:t>Q12</w:t>
            </w:r>
          </w:p>
        </w:tc>
        <w:tc>
          <w:tcPr>
            <w:tcW w:type="dxa" w:w="4896"/>
          </w:tcPr>
          <w:p>
            <w:r>
              <w:t>Changes/evidence needed for stakeholder acceptance or approval</w:t>
            </w:r>
          </w:p>
        </w:tc>
      </w:tr>
      <w:tr>
        <w:tc>
          <w:tcPr>
            <w:tcW w:type="dxa" w:w="4896"/>
          </w:tcPr>
          <w:p>
            <w:r>
              <w:t>Q13</w:t>
            </w:r>
          </w:p>
        </w:tc>
        <w:tc>
          <w:tcPr>
            <w:tcW w:type="dxa" w:w="4896"/>
          </w:tcPr>
          <w:p>
            <w:r>
              <w:t>Most important weakness or improvement opportunity</w:t>
            </w:r>
          </w:p>
        </w:tc>
      </w:tr>
      <w:tr>
        <w:tc>
          <w:tcPr>
            <w:tcW w:type="dxa" w:w="4896"/>
          </w:tcPr>
          <w:p>
            <w:r>
              <w:t>Q14</w:t>
            </w:r>
          </w:p>
        </w:tc>
        <w:tc>
          <w:tcPr>
            <w:tcW w:type="dxa" w:w="4896"/>
          </w:tcPr>
          <w:p>
            <w:r>
              <w:t>Other important considerations not yet covered</w:t>
            </w:r>
          </w:p>
        </w:tc>
      </w:tr>
    </w:tbl>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EXP-05 | ATLAS.ti Transcript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Marker">
    <w:name w:val="Question Marker"/>
    <w:pPr>
      <w:keepNext/>
      <w:spacing w:before="140" w:after="60"/>
    </w:pPr>
    <w:rPr>
      <w:rFonts w:ascii="Aptos" w:hAnsi="Aptos"/>
      <w:b/>
      <w:sz w:val="21"/>
    </w:rPr>
  </w:style>
  <w:style w:type="paragraph" w:customStyle="1" w:styleId="MethodNote">
    <w:name w:val="Method Note"/>
    <w:pPr>
      <w:spacing w:after="160"/>
    </w:pPr>
    <w:rPr>
      <w:rFonts w:ascii="Aptos" w:hAnsi="Aptos"/>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EXP-04 – ATLAS.ti Analysis Transcript</dc:title>
  <dc:subject>Pseudonymised expert interview transcript</dc:subject>
  <dc:creator/>
  <cp:keywords/>
  <dc:description/>
  <cp:lastModifiedBy/>
  <cp:revision>1</cp:revision>
  <dcterms:created xsi:type="dcterms:W3CDTF">2013-12-23T23:15:00Z</dcterms:created>
  <dcterms:modified xsi:type="dcterms:W3CDTF">2013-12-23T23:15:00Z</dcterms:modified>
  <cp:category/>
</cp:coreProperties>
</file>