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EXP-12 – ATLAS.ti Analysis Transcript</w:t>
      </w:r>
    </w:p>
    <w:p>
      <w:pPr>
        <w:pStyle w:val="MethodNote"/>
      </w:pPr>
      <w:r>
        <w:t>Methodological note: Question labels were added to map the conversation to the Q1–Q14 interview guide. The transcript was cleaned using an intelligent-verbatim approach: obvious automatic-transcription errors, repetitions, false starts, interviewer back-channeling, and non-meaningful filler were removed while preserving the participant’s substantive meaning, technical logic, uncertainty, and level of emphasis. No participant answers were invented. Because this interview contains commercially identifying material, company names, proprietary product or service names, individual names, customer/project locations, and supplier-specific references were generalised. Public technical terminology and public standards (for example IEC 62443 and IACS UR E27) were retained because they are analytically important and do not identify the participant or company. Where a guide question was addressed through a follow-up or related discussion rather than asked verbatim, the mapping is identified in the label.</w:t>
      </w:r>
    </w:p>
    <w:tbl>
      <w:tblPr>
        <w:tblStyle w:val="TableGrid"/>
        <w:tblW w:type="auto" w:w="0"/>
        <w:tblLook w:firstColumn="1" w:firstRow="1" w:lastColumn="0" w:lastRow="0" w:noHBand="0" w:noVBand="1" w:val="04A0"/>
      </w:tblPr>
      <w:tblGrid>
        <w:gridCol w:w="4896"/>
        <w:gridCol w:w="4896"/>
      </w:tblGrid>
      <w:tr>
        <w:tc>
          <w:tcPr>
            <w:tcW w:type="dxa" w:w="4896"/>
          </w:tcPr>
          <w:p>
            <w:r>
              <w:t>Participant ID</w:t>
            </w:r>
          </w:p>
        </w:tc>
        <w:tc>
          <w:tcPr>
            <w:tcW w:type="dxa" w:w="4896"/>
          </w:tcPr>
          <w:p>
            <w:r>
              <w:t>EXP-12</w:t>
            </w:r>
          </w:p>
        </w:tc>
      </w:tr>
      <w:tr>
        <w:tc>
          <w:tcPr>
            <w:tcW w:type="dxa" w:w="4896"/>
          </w:tcPr>
          <w:p>
            <w:r>
              <w:t>Interview date</w:t>
            </w:r>
          </w:p>
        </w:tc>
        <w:tc>
          <w:tcPr>
            <w:tcW w:type="dxa" w:w="4896"/>
          </w:tcPr>
          <w:p>
            <w:r>
              <w:t>18 August 2026</w:t>
            </w:r>
          </w:p>
        </w:tc>
      </w:tr>
      <w:tr>
        <w:tc>
          <w:tcPr>
            <w:tcW w:type="dxa" w:w="4896"/>
          </w:tcPr>
          <w:p>
            <w:r>
              <w:t>Duration</w:t>
            </w:r>
          </w:p>
        </w:tc>
        <w:tc>
          <w:tcPr>
            <w:tcW w:type="dxa" w:w="4896"/>
          </w:tcPr>
          <w:p>
            <w:r>
              <w:t>24 min 13 s</w:t>
            </w:r>
          </w:p>
        </w:tc>
      </w:tr>
      <w:tr>
        <w:tc>
          <w:tcPr>
            <w:tcW w:type="dxa" w:w="4896"/>
          </w:tcPr>
          <w:p>
            <w:r>
              <w:t>Transcript type</w:t>
            </w:r>
          </w:p>
        </w:tc>
        <w:tc>
          <w:tcPr>
            <w:tcW w:type="dxa" w:w="4896"/>
          </w:tcPr>
          <w:p>
            <w:r>
              <w:t>Intelligent verbatim / cleaned interview transcript</w:t>
            </w:r>
          </w:p>
        </w:tc>
      </w:tr>
      <w:tr>
        <w:tc>
          <w:tcPr>
            <w:tcW w:type="dxa" w:w="4896"/>
          </w:tcPr>
          <w:p>
            <w:r>
              <w:t>Pseudonymisation</w:t>
            </w:r>
          </w:p>
        </w:tc>
        <w:tc>
          <w:tcPr>
            <w:tcW w:type="dxa" w:w="4896"/>
          </w:tcPr>
          <w:p>
            <w:r>
              <w:t>Applied – company, product/service, personal, customer/project and location references generalised</w:t>
            </w:r>
          </w:p>
        </w:tc>
      </w:tr>
      <w:tr>
        <w:tc>
          <w:tcPr>
            <w:tcW w:type="dxa" w:w="4896"/>
          </w:tcPr>
          <w:p>
            <w:r>
              <w:t>Speaker labels</w:t>
            </w:r>
          </w:p>
        </w:tc>
        <w:tc>
          <w:tcPr>
            <w:tcW w:type="dxa" w:w="4896"/>
          </w:tcPr>
          <w:p>
            <w:r>
              <w:t>Interviewer / EXP-12</w:t>
            </w:r>
          </w:p>
        </w:tc>
      </w:tr>
      <w:tr>
        <w:tc>
          <w:tcPr>
            <w:tcW w:type="dxa" w:w="4896"/>
          </w:tcPr>
          <w:p>
            <w:r>
              <w:t>Question framework</w:t>
            </w:r>
          </w:p>
        </w:tc>
        <w:tc>
          <w:tcPr>
            <w:tcW w:type="dxa" w:w="4896"/>
          </w:tcPr>
          <w:p>
            <w:r>
              <w:t>Q1–Q14 expert interview guide</w:t>
            </w:r>
          </w:p>
        </w:tc>
      </w:tr>
    </w:tbl>
    <w:p>
      <w:pPr>
        <w:pStyle w:val="Heading1"/>
      </w:pPr>
      <w:r>
        <w:t>Transcript</w:t>
      </w:r>
    </w:p>
    <w:p>
      <w:pPr>
        <w:pStyle w:val="Heading2"/>
      </w:pPr>
      <w:r>
        <w:t>Opening and Consent</w:t>
      </w:r>
    </w:p>
    <w:p>
      <w:pPr/>
      <w:r>
        <w:rPr>
          <w:b/>
        </w:rPr>
        <w:t xml:space="preserve">Interviewer [Opening]: </w:t>
      </w:r>
      <w:r>
        <w:t>Thank you for taking the time to participate in this interview and for reviewing the thesis overview beforehand. The purpose of this discussion is to obtain your expert assessment of the proposed architecture, particularly its completeness, technical feasibility, practical applicability, and any limitations or gaps you identify. As part of the expert validation, I will also ask you to complete a short evaluation form at the end of the meeting. There are no right or wrong answers; I am interested in your professional assessment and practical experience. The architecture is presented as a generalised framework rather than as the exact architecture of any individual supplier.</w:t>
      </w:r>
    </w:p>
    <w:p>
      <w:pPr/>
      <w:r>
        <w:rPr>
          <w:b/>
        </w:rPr>
        <w:t xml:space="preserve">Interviewer [Consent]: </w:t>
      </w:r>
      <w:r>
        <w:t>With your permission, I would like to record the interview so that I can transcribe and analyse it accurately. The recording and transcript will be pseudonymised, and names, company names, and other identifying information will not be included in the thesis analysis. Do I have your permission to record the interview?</w:t>
      </w:r>
    </w:p>
    <w:p>
      <w:pPr/>
      <w:r>
        <w:rPr>
          <w:b/>
        </w:rPr>
        <w:t xml:space="preserve">EXP-12: </w:t>
      </w:r>
      <w:r>
        <w:t>Yes, you do.</w:t>
      </w:r>
    </w:p>
    <w:p>
      <w:pPr>
        <w:pStyle w:val="Heading2"/>
      </w:pPr>
      <w:r>
        <w:t>2.1 Architectural Completeness</w:t>
      </w:r>
    </w:p>
    <w:p>
      <w:pPr/>
      <w:r>
        <w:rPr>
          <w:b/>
        </w:rPr>
        <w:t xml:space="preserve">Interviewer [Q1]: </w:t>
      </w:r>
      <w:r>
        <w:t>Looking at the proposed architecture as a whole, do you think it contains the main functions and system areas required for a modern marine fire-suppression system?</w:t>
      </w:r>
    </w:p>
    <w:p>
      <w:pPr/>
      <w:r>
        <w:rPr>
          <w:b/>
        </w:rPr>
        <w:t xml:space="preserve">EXP-12: </w:t>
      </w:r>
      <w:r>
        <w:t>Yes. I think it describes very well what we have learned and what has been used in recent systems. It contains what I consider relevant at the moment.</w:t>
      </w:r>
    </w:p>
    <w:p>
      <w:pPr/>
      <w:r>
        <w:rPr>
          <w:b/>
        </w:rPr>
        <w:t xml:space="preserve">Interviewer [Q2]: </w:t>
      </w:r>
      <w:r>
        <w:t>Are there any important components, functions, interfaces, or architectural considerations that you believe are missing?</w:t>
      </w:r>
    </w:p>
    <w:p>
      <w:pPr/>
      <w:r>
        <w:rPr>
          <w:b/>
        </w:rPr>
        <w:t xml:space="preserve">EXP-12: </w:t>
      </w:r>
      <w:r>
        <w:t>No. Of course, you can always go further into the details and make the architecture correspond more closely to a specific implementation, but as a generalised framework I think it is very good.</w:t>
      </w:r>
    </w:p>
    <w:p>
      <w:pPr/>
      <w:r>
        <w:rPr>
          <w:b/>
        </w:rPr>
        <w:t xml:space="preserve">Interviewer [Q2 follow-up]: </w:t>
      </w:r>
      <w:r>
        <w:t>Do you see any unnecessary complexity?</w:t>
      </w:r>
    </w:p>
    <w:p>
      <w:pPr/>
      <w:r>
        <w:rPr>
          <w:b/>
        </w:rPr>
        <w:t xml:space="preserve">EXP-12: </w:t>
      </w:r>
      <w:r>
        <w:t>Not in the main schematic. I do not think that view is too complex. In some of the earlier layer descriptions, however, I did not fully see the need to separate the system into so many levels. Extra layers add complexity if there is no clear reason for them, so I would question whether every separate layer is really needed.</w:t>
      </w:r>
    </w:p>
    <w:p>
      <w:pPr>
        <w:pStyle w:val="Heading2"/>
      </w:pPr>
      <w:r>
        <w:t>2.2 Security Zones and Marine System Integration</w:t>
      </w:r>
    </w:p>
    <w:p>
      <w:pPr/>
      <w:r>
        <w:rPr>
          <w:b/>
        </w:rPr>
        <w:t xml:space="preserve">Interviewer [Q3]: </w:t>
      </w:r>
      <w:r>
        <w:t>From a marine system-integration perspective, does the proposed separation between safety-critical functions, supervisory functions, maintenance access, and external or customer networks reflect how such a system should realistically be integrated onboard a vessel?</w:t>
      </w:r>
    </w:p>
    <w:p>
      <w:pPr/>
      <w:r>
        <w:rPr>
          <w:b/>
        </w:rPr>
        <w:t xml:space="preserve">EXP-12: </w:t>
      </w:r>
      <w:r>
        <w:t>Yes. The main schematic describes it well. I would still simplify some of the other layer or zone definitions where the separation does not provide a clear benefit.</w:t>
      </w:r>
    </w:p>
    <w:p>
      <w:pPr/>
      <w:r>
        <w:rPr>
          <w:b/>
        </w:rPr>
        <w:t xml:space="preserve">Interviewer [Q3 follow-up]: </w:t>
      </w:r>
      <w:r>
        <w:t>Would you combine any of the safety-related areas, or clarify their responsibilities differently?</w:t>
      </w:r>
    </w:p>
    <w:p>
      <w:pPr/>
      <w:r>
        <w:rPr>
          <w:b/>
        </w:rPr>
        <w:t xml:space="preserve">EXP-12: </w:t>
      </w:r>
      <w:r>
        <w:t>Fire suppression is part of the safety function in my opinion. The system has a fairly specific purpose: fire suppression. I would therefore consider combining the separate safety-function and fire-suppression areas into one fire-suppression functionality zone. If they remain separate, the contents of each zone need to be described more clearly. The supervisory area could be intended for authorised supplier personnel, while maintenance or engineering access from a third party should be lower-trust and more restricted.</w:t>
      </w:r>
    </w:p>
    <w:p>
      <w:pPr/>
      <w:r>
        <w:rPr>
          <w:b/>
        </w:rPr>
        <w:t xml:space="preserve">Interviewer [Q4]: </w:t>
      </w:r>
      <w:r>
        <w:t>How should customer or shipowner networks influence the architecture? What type of access should be permitted, and what should not be permitted?</w:t>
      </w:r>
    </w:p>
    <w:p>
      <w:pPr/>
      <w:r>
        <w:rPr>
          <w:b/>
        </w:rPr>
        <w:t xml:space="preserve">EXP-12: </w:t>
      </w:r>
      <w:r>
        <w:t>For monitoring and connected services, I would prefer one-way communication out of the protected system. If an external system must provide a control input, that input should be very tightly limited. For example, an external fire-detection system may be required to request the release of a defined protected area, but it should not receive broad control authority over the fire-suppression system.</w:t>
      </w:r>
    </w:p>
    <w:p>
      <w:pPr/>
      <w:r>
        <w:rPr>
          <w:b/>
        </w:rPr>
        <w:t xml:space="preserve">EXP-12: </w:t>
      </w:r>
      <w:r>
        <w:t>For IoT, monitoring, and similar connectivity, the normal data path should be one-way. The separate remote-maintenance path is different because it needs bidirectional communication, but that connection should exist only for a defined period and should be established onboard when it is needed and agreed. That separation was well represented in the proposed topology.</w:t>
      </w:r>
    </w:p>
    <w:p>
      <w:pPr>
        <w:pStyle w:val="Heading2"/>
      </w:pPr>
      <w:r>
        <w:t>2.3 Cyber Resilience and Preservation of Essential Functions</w:t>
      </w:r>
    </w:p>
    <w:p>
      <w:pPr/>
      <w:r>
        <w:rPr>
          <w:b/>
        </w:rPr>
        <w:t xml:space="preserve">Interviewer [Q5]: </w:t>
      </w:r>
      <w:r>
        <w:t>If communication, supervisory functions, maintenance connectivity, or an external network connection were unavailable or compromised, do you think the proposed architecture would adequately preserve the essential fire-detection, alarm, control, and suppression functions?</w:t>
      </w:r>
    </w:p>
    <w:p>
      <w:pPr/>
      <w:r>
        <w:rPr>
          <w:b/>
        </w:rPr>
        <w:t xml:space="preserve">EXP-12: </w:t>
      </w:r>
      <w:r>
        <w:t>I would like the upper-level control and externally connected functions to be separated from the pump-unit and lower-level control functions. I would call that micro-segmentation. If the upper level, which communicates outside the system and is therefore more exposed, is lost or compromised, the lower segments should continue to operate. The individual pump units should still work. Protected areas can also be released manually, and the pump units should start automatically when required but should also be capable of manual start.</w:t>
      </w:r>
    </w:p>
    <w:p>
      <w:pPr/>
      <w:r>
        <w:rPr>
          <w:b/>
        </w:rPr>
        <w:t xml:space="preserve">Interviewer [Q5 follow-up]: </w:t>
      </w:r>
      <w:r>
        <w:t>Is degraded operation without external or upper-level communication appropriate?</w:t>
      </w:r>
    </w:p>
    <w:p>
      <w:pPr/>
      <w:r>
        <w:rPr>
          <w:b/>
        </w:rPr>
        <w:t xml:space="preserve">EXP-12: </w:t>
      </w:r>
      <w:r>
        <w:t>Yes. The system should work without external communication. That is also part of the cybersecurity testing logic. We would not normally disconnect the upper level deliberately, but a firewall may isolate communication if it detects abnormal traffic. The rest of the system must then continue to work. This is why the fire-suppression system should be independently capable and should have its own local release panel rather than depending only on a third-party system.</w:t>
      </w:r>
    </w:p>
    <w:p>
      <w:pPr/>
      <w:r>
        <w:rPr>
          <w:b/>
        </w:rPr>
        <w:t xml:space="preserve">Interviewer [Q5 follow-up]: </w:t>
      </w:r>
      <w:r>
        <w:t>Do you identify any remaining single point of failure or situation in which the architecture could fail to preserve an essential safety function?</w:t>
      </w:r>
    </w:p>
    <w:p>
      <w:pPr/>
      <w:r>
        <w:rPr>
          <w:b/>
        </w:rPr>
        <w:t xml:space="preserve">EXP-12: </w:t>
      </w:r>
      <w:r>
        <w:t>The micro-segmentation needs to be defined more clearly in the architecture. Another important point is alarm and degraded-state awareness. If a cyber incident or component loss occurs but the crew does not receive an alarm, the system has effectively failed in another way because people do not know that manual action may be required. Redundant controllers therefore need to be configured so that failures are detected and an alarm clearly indicates that the system is no longer fully functional.</w:t>
      </w:r>
    </w:p>
    <w:p>
      <w:pPr>
        <w:pStyle w:val="Heading2"/>
      </w:pPr>
      <w:r>
        <w:t>2.4 Cybersecurity and Maintainability</w:t>
      </w:r>
    </w:p>
    <w:p>
      <w:pPr/>
      <w:r>
        <w:rPr>
          <w:b/>
        </w:rPr>
        <w:t xml:space="preserve">Interviewer [Q6]: </w:t>
      </w:r>
      <w:r>
        <w:t>Do you consider the cybersecurity measures included in the proposed architecture appropriate and practically implementable for a marine fire-suppression system?</w:t>
      </w:r>
    </w:p>
    <w:p>
      <w:pPr/>
      <w:r>
        <w:rPr>
          <w:b/>
        </w:rPr>
        <w:t xml:space="preserve">EXP-12: </w:t>
      </w:r>
      <w:r>
        <w:t>In principle, yes, but the controls need to be applied at the right level. For a connected monitoring or cloud service, stronger user management and cybersecurity controls are clearly needed. At the device level, however, implementing local user management on PLC-based equipment may add too much complexity and may not even be practical with the current device capabilities.</w:t>
      </w:r>
    </w:p>
    <w:p>
      <w:pPr/>
      <w:r>
        <w:rPr>
          <w:b/>
        </w:rPr>
        <w:t xml:space="preserve">EXP-12: </w:t>
      </w:r>
      <w:r>
        <w:t>There is also a trade-off. If local user management requires a connection to supplier servers or to the vessel IT environment, that new connection can itself introduce additional risk. It could also turn each project into a broader IT integration project. For simple equipment-level control of pumps, valves, and local controllers, it may therefore be better to keep the control system simpler and use other protective measures rather than force every whole-vessel IT requirement down to the device level.</w:t>
      </w:r>
    </w:p>
    <w:p>
      <w:pPr/>
      <w:r>
        <w:rPr>
          <w:b/>
        </w:rPr>
        <w:t xml:space="preserve">Interviewer [Q7]: </w:t>
      </w:r>
      <w:r>
        <w:t>Could any of these cybersecurity measures create difficulties for normal operation, commissioning, troubleshooting, service, or maintenance, or interfere with essential safety functions?</w:t>
      </w:r>
    </w:p>
    <w:p>
      <w:pPr/>
      <w:r>
        <w:rPr>
          <w:b/>
        </w:rPr>
        <w:t xml:space="preserve">EXP-12: </w:t>
      </w:r>
      <w:r>
        <w:t>They can create unnecessary complexity if they are applied without considering the actual function of the system. The standards cover the whole vessel and many different types of information and access-control needs. A fire-suppression system is primarily controlling pumps, valves, and equipment-level controllers, so not every whole-vessel control is necessarily needed locally. The architecture therefore needs a balance between cybersecurity requirements, operational simplicity, and preservation of the safety function.</w:t>
      </w:r>
    </w:p>
    <w:p>
      <w:pPr/>
      <w:r>
        <w:rPr>
          <w:b/>
        </w:rPr>
        <w:t xml:space="preserve">EXP-12: </w:t>
      </w:r>
      <w:r>
        <w:t>The situation changes when the system uses a connected monitoring application or cloud service. Once public-internet or cloud connectivity is introduced, the cybersecurity requirements become more demanding.</w:t>
      </w:r>
    </w:p>
    <w:p>
      <w:pPr>
        <w:pStyle w:val="Heading2"/>
      </w:pPr>
      <w:r>
        <w:t>2.5 Fault and Cyber-Threat Assessment</w:t>
      </w:r>
    </w:p>
    <w:p>
      <w:pPr/>
      <w:r>
        <w:rPr>
          <w:b/>
        </w:rPr>
        <w:t xml:space="preserve">Transcript note: </w:t>
      </w:r>
      <w:r>
        <w:t>Q8, concerning the realism of the representative FMVEA scenarios as a set, was not asked separately in this recording.</w:t>
      </w:r>
    </w:p>
    <w:p>
      <w:pPr/>
      <w:r>
        <w:rPr>
          <w:b/>
        </w:rPr>
        <w:t xml:space="preserve">Interviewer [Q9]: </w:t>
      </w:r>
      <w:r>
        <w:t>Are there any important failure modes or cybersecurity scenarios that you believe are missing?</w:t>
      </w:r>
    </w:p>
    <w:p>
      <w:pPr/>
      <w:r>
        <w:rPr>
          <w:b/>
        </w:rPr>
        <w:t xml:space="preserve">EXP-12: </w:t>
      </w:r>
      <w:r>
        <w:t>No. I think you have covered the main scenarios well.</w:t>
      </w:r>
    </w:p>
    <w:p>
      <w:pPr/>
      <w:r>
        <w:rPr>
          <w:b/>
        </w:rPr>
        <w:t xml:space="preserve">Interviewer [Q9 follow-up]: </w:t>
      </w:r>
      <w:r>
        <w:t>Are there any additional scenarios or areas that should receive more attention?</w:t>
      </w:r>
    </w:p>
    <w:p>
      <w:pPr/>
      <w:r>
        <w:rPr>
          <w:b/>
        </w:rPr>
        <w:t xml:space="preserve">EXP-12: </w:t>
      </w:r>
      <w:r>
        <w:t>Micro-segmentation should receive more attention. Denial-of-service is also something that should be considered. Recovery and restoration are especially important, and not only for cybersecurity. The same capability is needed for hardware or equipment failures so that people onboard can restore the system and replace failed equipment.</w:t>
      </w:r>
    </w:p>
    <w:p>
      <w:pPr/>
      <w:r>
        <w:rPr>
          <w:b/>
        </w:rPr>
        <w:t xml:space="preserve">Transcript note: </w:t>
      </w:r>
      <w:r>
        <w:t>Q10 was not asked as a separate conceptual-safeguard question. The participant’s safeguard-related comments are retained under Q5, Q6/Q7, Q9, and Q12 rather than being duplicated.</w:t>
      </w:r>
    </w:p>
    <w:p>
      <w:pPr>
        <w:pStyle w:val="Heading2"/>
      </w:pPr>
      <w:r>
        <w:t>2.6 Industrial Applicability and Approval</w:t>
      </w:r>
    </w:p>
    <w:p>
      <w:pPr/>
      <w:r>
        <w:rPr>
          <w:b/>
        </w:rPr>
        <w:t xml:space="preserve">Interviewer [Q11]: </w:t>
      </w:r>
      <w:r>
        <w:t>If this framework were used to guide the design or review of a future marine fire-suppression system, would you consider it useful in an industrial project?</w:t>
      </w:r>
    </w:p>
    <w:p>
      <w:pPr/>
      <w:r>
        <w:rPr>
          <w:b/>
        </w:rPr>
        <w:t xml:space="preserve">EXP-12: </w:t>
      </w:r>
      <w:r>
        <w:t>Yes, to some extent. The important thing is not to add unnecessary complexity. A high-volume system supplier needs to meet the requirements without over-engineering every project. The framework appears to contain the necessary elements, but I would still question each element and ask whether it is genuinely needed in the specific implementation.</w:t>
      </w:r>
    </w:p>
    <w:p>
      <w:pPr/>
      <w:r>
        <w:rPr>
          <w:b/>
        </w:rPr>
        <w:t xml:space="preserve">Interviewer [Q12]: </w:t>
      </w:r>
      <w:r>
        <w:t>What would need to be changed, clarified, demonstrated, or documented before you would be comfortable using, reviewing, recommending, or approving such an architecture?</w:t>
      </w:r>
    </w:p>
    <w:p>
      <w:pPr/>
      <w:r>
        <w:rPr>
          <w:b/>
        </w:rPr>
        <w:t xml:space="preserve">EXP-12: </w:t>
      </w:r>
      <w:r>
        <w:t>First, I would define the micro-segmentation more clearly. Second, I would link the architecture directly to the applicable requirements. If we have an IT or control-system topology and a cybersecurity design, I want to be able to point from each relevant IEC 62443 requirement to the architectural feature that addresses it. The same traceability is important for IACS UR E27 and classification-society approval. If the architecture is taken into use, the next step is to build the approval documentation from those links.</w:t>
      </w:r>
    </w:p>
    <w:p>
      <w:pPr/>
      <w:r>
        <w:rPr>
          <w:b/>
        </w:rPr>
        <w:t xml:space="preserve">Interviewer [Q12 follow-up]: </w:t>
      </w:r>
      <w:r>
        <w:t>What do you think customers and classification bodies would be most concerned about?</w:t>
      </w:r>
    </w:p>
    <w:p>
      <w:pPr/>
      <w:r>
        <w:rPr>
          <w:b/>
        </w:rPr>
        <w:t xml:space="preserve">EXP-12: </w:t>
      </w:r>
      <w:r>
        <w:t>Customers will want confidence that the system can obtain the required IACS UR E27 compliance evidence or certification and that the documentation is complete. For a fire-suppression system, many customers are not yet asking for extensive IoT or remote-monitoring functionality; that is still relatively new. The demand is likely to increase as customers become more interested in mobile or fleet-level monitoring.</w:t>
      </w:r>
    </w:p>
    <w:p>
      <w:pPr/>
      <w:r>
        <w:rPr>
          <w:b/>
        </w:rPr>
        <w:t xml:space="preserve">Interviewer [Q12 follow-up]: </w:t>
      </w:r>
      <w:r>
        <w:t>Compared with current systems, which parts of this framework would require the most work before classification approval?</w:t>
      </w:r>
    </w:p>
    <w:p>
      <w:pPr/>
      <w:r>
        <w:rPr>
          <w:b/>
        </w:rPr>
        <w:t xml:space="preserve">EXP-12: </w:t>
      </w:r>
      <w:r>
        <w:t>Remote connectivity changes the approval case the most. Micro-segmentation using managed or programmable network devices may also be needed and can make the system more configurable and secure. The remote-connectivity part is less mature, so it would need to be updated, explained, and assessed with the classification societies, especially where remote actions are possible. The framework gives a good starting point, but those remote functions need explicit assessment.</w:t>
      </w:r>
    </w:p>
    <w:p>
      <w:pPr>
        <w:pStyle w:val="Heading2"/>
      </w:pPr>
      <w:r>
        <w:t>2.7 Wrap-Up</w:t>
      </w:r>
    </w:p>
    <w:p>
      <w:pPr/>
      <w:r>
        <w:rPr>
          <w:b/>
        </w:rPr>
        <w:t xml:space="preserve">Interviewer [Q13]: </w:t>
      </w:r>
      <w:r>
        <w:t>Considering everything we have discussed, what do you see as the most important weakness or improvement opportunity in the proposed architecture?</w:t>
      </w:r>
    </w:p>
    <w:p>
      <w:pPr/>
      <w:r>
        <w:rPr>
          <w:b/>
        </w:rPr>
        <w:t xml:space="preserve">EXP-12: </w:t>
      </w:r>
      <w:r>
        <w:t>In addition to micro-segmentation, the main open issue is remote access, especially a permanent monitoring connection. On-demand maintenance access is less concerning because a person is involved and the connection can be physically or procedurally disconnected. A permanent connection raises more questions: how strong the one-way gateway or data-diode arrangement is, how the firewall is configured, who manages the data, how access is controlled, and how credentials or VPN tokens are managed. That is probably the weakest or, at least, the least-defined part at the moment.</w:t>
      </w:r>
    </w:p>
    <w:p>
      <w:pPr/>
      <w:r>
        <w:rPr>
          <w:b/>
        </w:rPr>
        <w:t xml:space="preserve">Interviewer [Q14 follow-up]: </w:t>
      </w:r>
      <w:r>
        <w:t>For the monitoring data path, should the supplier manage the data or should it be managed by the vessel or customer?</w:t>
      </w:r>
    </w:p>
    <w:p>
      <w:pPr/>
      <w:r>
        <w:rPr>
          <w:b/>
        </w:rPr>
        <w:t xml:space="preserve">EXP-12: </w:t>
      </w:r>
      <w:r>
        <w:t>It depends on what the service is trying to achieve. If the data can be processed locally, and the result is needed locally, then I would process and store it locally where possible. Beyond that, I do not think there is one fixed answer yet. The future service model will determine what data is generated, where it is stored, what the customer wants to receive, and whether the customer accesses it through an API or a fleet-level monitoring system.</w:t>
      </w:r>
    </w:p>
    <w:p>
      <w:pPr/>
      <w:r>
        <w:rPr>
          <w:b/>
        </w:rPr>
        <w:t xml:space="preserve">EXP-12: </w:t>
      </w:r>
      <w:r>
        <w:t>My expectation is that customers will increasingly want interfaces to their own monitoring environments rather than manage all raw data onboard themselves. The supplier may process some data and provide selected results or analytics, while the customer consumes those results through its own systems. The exact division will evolve with the services and use cases.</w:t>
      </w:r>
    </w:p>
    <w:p>
      <w:pPr/>
      <w:r>
        <w:rPr>
          <w:b/>
        </w:rPr>
        <w:t xml:space="preserve">Interviewer [Q14]: </w:t>
      </w:r>
      <w:r>
        <w:t>Is there anything else regarding the architecture, marine system integration, cybersecurity, resilience, or practical implementation that should be considered in the long run?</w:t>
      </w:r>
    </w:p>
    <w:p>
      <w:pPr/>
      <w:r>
        <w:rPr>
          <w:b/>
        </w:rPr>
        <w:t xml:space="preserve">EXP-12: </w:t>
      </w:r>
      <w:r>
        <w:t>I think the main points have been covered. The important thing is that this field is continuously evolving. Traditional industrial control systems are moving from relay- and PLC-centred technology toward more software- and IT-oriented architectures. I expect the industrial-control and IT worlds to continue converging, so the cybersecurity architecture will also need to evolve with that change.</w:t>
      </w:r>
    </w:p>
    <w:p>
      <w:pPr/>
      <w:r>
        <w:rPr>
          <w:b/>
        </w:rPr>
        <w:t xml:space="preserve">Interviewer [Closing]: </w:t>
      </w:r>
      <w:r>
        <w:t>Thank you very much for your time and for sharing your experience. Your feedback will be transcribed and analysed together with the other expert interviews and used to assess and refine the proposed architecture and identify areas requiring further implementation-level verification.</w:t>
      </w:r>
    </w:p>
    <w:p>
      <w:pPr>
        <w:pStyle w:val="Heading1"/>
        <w:pageBreakBefore/>
      </w:pPr>
      <w:r>
        <w:t>Q1–Q14 Question Map</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Guide topic</w:t>
            </w:r>
          </w:p>
        </w:tc>
      </w:tr>
      <w:tr>
        <w:tc>
          <w:tcPr>
            <w:tcW w:type="dxa" w:w="4896"/>
          </w:tcPr>
          <w:p>
            <w:r>
              <w:t>Q1</w:t>
            </w:r>
          </w:p>
        </w:tc>
        <w:tc>
          <w:tcPr>
            <w:tcW w:type="dxa" w:w="4896"/>
          </w:tcPr>
          <w:p>
            <w:r>
              <w:t>Architectural completeness</w:t>
            </w:r>
          </w:p>
        </w:tc>
      </w:tr>
      <w:tr>
        <w:tc>
          <w:tcPr>
            <w:tcW w:type="dxa" w:w="4896"/>
          </w:tcPr>
          <w:p>
            <w:r>
              <w:t>Q2</w:t>
            </w:r>
          </w:p>
        </w:tc>
        <w:tc>
          <w:tcPr>
            <w:tcW w:type="dxa" w:w="4896"/>
          </w:tcPr>
          <w:p>
            <w:r>
              <w:t>Missing components, functions, interfaces, or unnecessary complexity</w:t>
            </w:r>
          </w:p>
        </w:tc>
      </w:tr>
      <w:tr>
        <w:tc>
          <w:tcPr>
            <w:tcW w:type="dxa" w:w="4896"/>
          </w:tcPr>
          <w:p>
            <w:r>
              <w:t>Q3</w:t>
            </w:r>
          </w:p>
        </w:tc>
        <w:tc>
          <w:tcPr>
            <w:tcW w:type="dxa" w:w="4896"/>
          </w:tcPr>
          <w:p>
            <w:r>
              <w:t>Realistic onboard separation and system integration</w:t>
            </w:r>
          </w:p>
        </w:tc>
      </w:tr>
      <w:tr>
        <w:tc>
          <w:tcPr>
            <w:tcW w:type="dxa" w:w="4896"/>
          </w:tcPr>
          <w:p>
            <w:r>
              <w:t>Q4</w:t>
            </w:r>
          </w:p>
        </w:tc>
        <w:tc>
          <w:tcPr>
            <w:tcW w:type="dxa" w:w="4896"/>
          </w:tcPr>
          <w:p>
            <w:r>
              <w:t>Supplier-system integration considerations</w:t>
            </w:r>
          </w:p>
        </w:tc>
      </w:tr>
      <w:tr>
        <w:tc>
          <w:tcPr>
            <w:tcW w:type="dxa" w:w="4896"/>
          </w:tcPr>
          <w:p>
            <w:r>
              <w:t>Q5</w:t>
            </w:r>
          </w:p>
        </w:tc>
        <w:tc>
          <w:tcPr>
            <w:tcW w:type="dxa" w:w="4896"/>
          </w:tcPr>
          <w:p>
            <w:r>
              <w:t>Preservation of essential functions during loss/compromise</w:t>
            </w:r>
          </w:p>
        </w:tc>
      </w:tr>
      <w:tr>
        <w:tc>
          <w:tcPr>
            <w:tcW w:type="dxa" w:w="4896"/>
          </w:tcPr>
          <w:p>
            <w:r>
              <w:t>Q6</w:t>
            </w:r>
          </w:p>
        </w:tc>
        <w:tc>
          <w:tcPr>
            <w:tcW w:type="dxa" w:w="4896"/>
          </w:tcPr>
          <w:p>
            <w:r>
              <w:t>Practical cybersecurity measures</w:t>
            </w:r>
          </w:p>
        </w:tc>
      </w:tr>
      <w:tr>
        <w:tc>
          <w:tcPr>
            <w:tcW w:type="dxa" w:w="4896"/>
          </w:tcPr>
          <w:p>
            <w:r>
              <w:t>Q7</w:t>
            </w:r>
          </w:p>
        </w:tc>
        <w:tc>
          <w:tcPr>
            <w:tcW w:type="dxa" w:w="4896"/>
          </w:tcPr>
          <w:p>
            <w:r>
              <w:t>Operational, commissioning, service, or maintenance difficulties</w:t>
            </w:r>
          </w:p>
        </w:tc>
      </w:tr>
      <w:tr>
        <w:tc>
          <w:tcPr>
            <w:tcW w:type="dxa" w:w="4896"/>
          </w:tcPr>
          <w:p>
            <w:r>
              <w:t>Q8</w:t>
            </w:r>
          </w:p>
        </w:tc>
        <w:tc>
          <w:tcPr>
            <w:tcW w:type="dxa" w:w="4896"/>
          </w:tcPr>
          <w:p>
            <w:r>
              <w:t>Realism of fault and cyber-threat scenarios</w:t>
            </w:r>
          </w:p>
        </w:tc>
      </w:tr>
      <w:tr>
        <w:tc>
          <w:tcPr>
            <w:tcW w:type="dxa" w:w="4896"/>
          </w:tcPr>
          <w:p>
            <w:r>
              <w:t>Q9</w:t>
            </w:r>
          </w:p>
        </w:tc>
        <w:tc>
          <w:tcPr>
            <w:tcW w:type="dxa" w:w="4896"/>
          </w:tcPr>
          <w:p>
            <w:r>
              <w:t>Missing failure modes or cybersecurity scenarios</w:t>
            </w:r>
          </w:p>
        </w:tc>
      </w:tr>
      <w:tr>
        <w:tc>
          <w:tcPr>
            <w:tcW w:type="dxa" w:w="4896"/>
          </w:tcPr>
          <w:p>
            <w:r>
              <w:t>Q10</w:t>
            </w:r>
          </w:p>
        </w:tc>
        <w:tc>
          <w:tcPr>
            <w:tcW w:type="dxa" w:w="4896"/>
          </w:tcPr>
          <w:p>
            <w:r>
              <w:t>Sufficiency of architectural safeguards</w:t>
            </w:r>
          </w:p>
        </w:tc>
      </w:tr>
      <w:tr>
        <w:tc>
          <w:tcPr>
            <w:tcW w:type="dxa" w:w="4896"/>
          </w:tcPr>
          <w:p>
            <w:r>
              <w:t>Q11</w:t>
            </w:r>
          </w:p>
        </w:tc>
        <w:tc>
          <w:tcPr>
            <w:tcW w:type="dxa" w:w="4896"/>
          </w:tcPr>
          <w:p>
            <w:r>
              <w:t>Industrial usefulness of the framework</w:t>
            </w:r>
          </w:p>
        </w:tc>
      </w:tr>
      <w:tr>
        <w:tc>
          <w:tcPr>
            <w:tcW w:type="dxa" w:w="4896"/>
          </w:tcPr>
          <w:p>
            <w:r>
              <w:t>Q12</w:t>
            </w:r>
          </w:p>
        </w:tc>
        <w:tc>
          <w:tcPr>
            <w:tcW w:type="dxa" w:w="4896"/>
          </w:tcPr>
          <w:p>
            <w:r>
              <w:t>Changes/evidence needed for stakeholder acceptance or approval</w:t>
            </w:r>
          </w:p>
        </w:tc>
      </w:tr>
      <w:tr>
        <w:tc>
          <w:tcPr>
            <w:tcW w:type="dxa" w:w="4896"/>
          </w:tcPr>
          <w:p>
            <w:r>
              <w:t>Q13</w:t>
            </w:r>
          </w:p>
        </w:tc>
        <w:tc>
          <w:tcPr>
            <w:tcW w:type="dxa" w:w="4896"/>
          </w:tcPr>
          <w:p>
            <w:r>
              <w:t>Most important weakness or improvement opportunity</w:t>
            </w:r>
          </w:p>
        </w:tc>
      </w:tr>
      <w:tr>
        <w:tc>
          <w:tcPr>
            <w:tcW w:type="dxa" w:w="4896"/>
          </w:tcPr>
          <w:p>
            <w:r>
              <w:t>Q14</w:t>
            </w:r>
          </w:p>
        </w:tc>
        <w:tc>
          <w:tcPr>
            <w:tcW w:type="dxa" w:w="4896"/>
          </w:tcPr>
          <w:p>
            <w:r>
              <w:t>Other important considerations not yet covered</w:t>
            </w:r>
          </w:p>
        </w:tc>
      </w:tr>
    </w:tbl>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 xml:space="preserve">EXP-12 | ATLAS.ti Transcript |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Marker">
    <w:name w:val="Question Marker"/>
    <w:pPr>
      <w:keepNext/>
      <w:spacing w:before="140" w:after="60"/>
    </w:pPr>
    <w:rPr>
      <w:rFonts w:ascii="Aptos" w:hAnsi="Aptos"/>
      <w:b/>
      <w:sz w:val="21"/>
    </w:rPr>
  </w:style>
  <w:style w:type="paragraph" w:customStyle="1" w:styleId="MethodNote">
    <w:name w:val="Method Note"/>
    <w:pPr>
      <w:spacing w:after="160"/>
    </w:pPr>
    <w:rPr>
      <w:rFonts w:ascii="Aptos" w:hAnsi="Aptos"/>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EXP-10 ATLAS.ti Analysis Transcript</dc:title>
  <dc:subject>Pseudonymised expert interview transcript</dc:subject>
  <dc:creator/>
  <cp:keywords/>
  <dc:description/>
  <cp:lastModifiedBy/>
  <cp:revision>1</cp:revision>
  <dcterms:created xsi:type="dcterms:W3CDTF">2013-12-23T23:15:00Z</dcterms:created>
  <dcterms:modified xsi:type="dcterms:W3CDTF">2013-12-23T23:15:00Z</dcterms:modified>
  <cp:category/>
</cp:coreProperties>
</file>