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b/>
          <w:bCs/>
          <w:color w:val="1E4080"/>
          <w:sz w:val="52"/>
          <w:szCs w:val="52"/>
        </w:rPr>
        <w:t xml:space="preserve">Luxury Housing Sales Analysis</w:t>
      </w:r>
    </w:p>
    <w:p>
      <w:pPr>
        <w:spacing w:after="200"/>
        <w:jc w:val="center"/>
      </w:pPr>
      <w:r>
        <w:rPr>
          <w:color w:val="2E5FA3"/>
          <w:sz w:val="30"/>
          <w:szCs w:val="30"/>
        </w:rPr>
        <w:t xml:space="preserve">Bengaluru Real Estate Market – Enterprise Data Pipeline Report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GUVI x HCL  |  Capstone Project  |  March 2026</w:t>
      </w:r>
    </w:p>
    <w:p>
      <w:pPr>
        <w:pBdr>
          <w:bottom w:val="single" w:color="1E4080" w:sz="6" w:space="1"/>
        </w:pBd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documents the complete end-to-end data analytics pipeline built for the Luxury Housing Sales Analysis project for Bengaluru. The pipeline ingests 101,000+ raw housing transaction records, performs advanced data cleaning and feature engineering in Python, loads the refined dataset into a SQL database, and produces an interactive Power BI dashboard covering 10 key visualization questions.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 Key Performance Indicators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rPr>
          <w:tblHeader/>
        </w:trPr>
        <w:tc>
          <w:tcPr>
            <w:tcW w:type="dxa" w:w="332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2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2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1,01,000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dataset across FY2023–FY2025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₹1,27,773 Cr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ticket value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Ticket Size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₹12.65 Cr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unit across all configs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Booking Rate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50.0%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 split Primary vs Secondary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Amenity Score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7.5 / 10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standard across portfolio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Builders Tracked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major Bengaluru developers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Micro-Markets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city coverage</w:t>
            </w:r>
          </w:p>
        </w:tc>
      </w:tr>
      <w:tr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Quarters Analyzed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quarters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Q1-2023 through Q1-2025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Step 1: Python Data Cleaning &amp; Feature Engineering</w:t>
      </w:r>
    </w:p>
    <w:p>
      <w:pPr>
        <w:pStyle w:val="Heading2"/>
      </w:pPr>
      <w:r>
        <w:t xml:space="preserve">3.1 Data Quality Issues Found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Ticket_Price_Cr: Mixed formats (₹9.82 Cr vs plain float) – 10,019 affected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Amenity_Score: 10,090 null values (approx. 10% of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Unit_Size_Sqft: 10,046 null values requiring imputation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Micro_Market: 15 raw values with inconsistent casing (e.g., WHITEFIELD, whitefield, Whitefield)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Configuration: 9 variants representing 3 types (3BHK, 4BHK, 5BHK+)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Buyer_Comments: 18,287 nulls (approx. 18% of records)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3.2 Cleaning Methods Applied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490"/>
        <w:gridCol w:w="2490"/>
        <w:gridCol w:w="2490"/>
      </w:tblGrid>
      <w:tr>
        <w:trPr>
          <w:tblHeader/>
        </w:trPr>
        <w:tc>
          <w:tcPr>
            <w:tcW w:type="dxa" w:w="249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9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9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9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Ticket_Price_Cr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currency formats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Regex parse + float cast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nulls post-clean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Amenity_Score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10,090 nulls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Unit_Size_Sqft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10,046 nulls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Micro_Market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case variants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str.strip().str.title()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clean values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inconsistent forms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.upper() normalization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canonical types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Buyer_Comments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18,287 nulls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Fill: 'No Comment'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3.3 Derived / Engineered Columns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3720"/>
        <w:gridCol w:w="3750"/>
      </w:tblGrid>
      <w:tr>
        <w:trPr>
          <w:tblHeader/>
        </w:trPr>
        <w:tc>
          <w:tcPr>
            <w:tcW w:type="dxa" w:w="249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372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375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Price_Per_Sqft_L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(Ticket_Price_Cr * 100) / Unit_Size_Sqft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efficiency metric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Quarter_Label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 from Purchase_Quarter date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Time-series analysis axis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Quarter_Number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1–4 within fiscal year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Sorting &amp; trending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Booking_Flag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if Transaction_Type = Primary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Conversion KPI numerator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NRI_Buyer_Flag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if NRI_Buyer = yes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NRI segment filter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Amenity_Tier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(&lt;8) / Premium (≥8)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 impact segmentation</w:t>
            </w:r>
          </w:p>
        </w:tc>
      </w:tr>
      <w:tr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Price_Segment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&lt;5Cr / 5-10Cr / 10-15Cr / 15+Cr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 strategy analysis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Step 2: SQL Data Warehousing</w:t>
      </w:r>
    </w:p>
    <w:p>
      <w:pPr>
        <w:pStyle w:val="Heading2"/>
      </w:pPr>
      <w:r>
        <w:t xml:space="preserve">4.1 Database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SQLite (local) / MySQL or PostgreSQL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Table: luxury_housing – 26 columns, 1,01,000 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Key: Project_ID (VARCHAR 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Indexed columns: Builder, Micro_Market, Purchase_Quarter, Transaction_Type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4.2 Validation Query Results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Validation Check</w:t>
            </w:r>
          </w:p>
        </w:tc>
        <w:tc>
          <w:tcPr>
            <w:tcW w:type="dxa" w:w="498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COUNT(*) FROM luxury_housing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1,01,000 rows confirmed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check: Ticket_Price_Cr, Amenity_Score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nulls after cleaning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BY Transaction_Type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Primary: 50,494 | Secondary: 50,506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AVG(Ticket_Price_Cr) GROUP BY Builder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Range: ₹12.55–12.75 Cr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COUNT(DISTINCT Micro_Market)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distinct markets</w:t>
            </w:r>
          </w:p>
        </w:tc>
      </w:tr>
      <w:tr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COUNT(DISTINCT Quarter_Label)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distinct quarters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5. Step 3: Power BI Dashboard</w:t>
      </w:r>
    </w:p>
    <w:p>
      <w:pPr>
        <w:pStyle w:val="Heading2"/>
      </w:pPr>
      <w:r>
        <w:t xml:space="preserve">5.1 Dashboard Pages &amp; Visualizations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320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76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Trends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+ Bar (Quarter × Market)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Stable growth, Q1-2024 peak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+ Line combo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Prestige leads at ₹1,17,810 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 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+ Pie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Premium amenity boosts conversion marginally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Conversion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 Bar + Donut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Kanakapura Road highest at 51.3%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Demand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Donut + 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5BHK+ most demanded (33,876 units)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Channels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Stacked + Pie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Broker and Online equally effective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Possession &amp; Buyers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Clustered + Bar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Startup Founders prefer Under Construction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DAX Measures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Booking_Conversion_Rate = DIVIDE(COUNTROWS(FILTER(luxury_housing, [Booking_Flag]=1)), COUNTROWS(luxury_housing))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Total_Revenue_Cr = SUM(luxury_housing[Ticket_Price_Cr])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Avg_Price_Per_Sqft = AVERAGE(luxury_housing[Price_Per_Sqft_L])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YoY_Revenue_Growth = DIVIDE([Total_Revenue_Cr] - CALCULATE([Total_Revenue_Cr], SAMEPERIODLASTYEAR(Purchase_Quarter)), ...)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High_Amenity_Conversion = CALCULATE([Booking_Conversion_Rate], [Amenity_Tier]="Premium")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6. Key Business Insights</w:t>
      </w:r>
    </w:p>
    <w:p>
      <w:pPr>
        <w:pStyle w:val="Heading2"/>
      </w:pPr>
      <w:r>
        <w:t xml:space="preserve">6.1 Market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16 micro-markets show remarkably stable unit volumes (6,150–6,441 units), indicating mature, evenly distributed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Jp Nagar (6,441 units) and Sarjapur Road (6,435 units) are the highest-volume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concentrations are highest in Jp Nagar (₹81,347 Cr) and Sarjapur Road (₹81,181 Cr).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6.2 Builder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Prestige leads total revenue at ₹1,17,810 Cr followed closely by Total Environment (₹1,17,394 Cr).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11 builders have average ticket prices within 1.5% of each other (₹12.55–12.75 Cr), suggesting a competitive, price-disciplined market.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Prestige has the highest primary booking rate at 50.7%, indicating stronger new-unit demand.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6.3 Amenity &amp; Conversion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amenity tier (score ≥8) achieves 50.06% primary conversion vs. 49.95% for Standard – minimal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near-50/50 split across all segments suggests pricing and location dominate over amenity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Invest in amenity differentiation only for premium price tier (15+ Cr) where buyers are more sensitive to luxury features.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6.4 Configuration 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5BHK+ is the most demanded configuration (33,876 units), closely followed by 3BHK (33,730) and 4BHK (33,394).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prices are nearly identical across configurations (₹12.60–12.67 Cr), implying price per sqft compression for larger units.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6.5 Sales Channel Efficiency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four channels (Broker, Direct, NRI Desk, Online) deliver nearly identical primary conversion rates (~50%).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channel handles the highest secondary volume (12,761 units), making it the strongest resale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NRI Desk drives significantly higher NRI buyer share (≈72% NRI vs. 18% for other channels).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Project Deliverables Checklist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2240"/>
        <w:gridCol w:w="2240"/>
      </w:tblGrid>
      <w:tr>
        <w:trPr>
          <w:tblHeader/>
        </w:trPr>
        <w:tc>
          <w:tcPr>
            <w:tcW w:type="dxa" w:w="548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4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1E4080" w:sz="1"/>
              <w:left w:val="single" w:color="1E4080" w:sz="1"/>
              <w:bottom w:val="single" w:color="1E4080" w:sz="1"/>
              <w:right w:val="single" w:color="1E4080" w:sz="1"/>
            </w:tcBorders>
            <w:shd w:fill="1E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cleaning + feature engineering script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data_cleaning.py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Cleaned dataset (CSV)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luxury_housing_cleaned.csv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/ SQL database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luxury_housing.db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schema + validation + analytical queries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sql_scripts.sql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Power BI-style dashboard (HTML)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dashboard.html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documentation report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documentation.docx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Power BI visualizations (7 pages)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in dashboard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cards (4 metrics)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in dashboard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Slicers / filters (Builder, Market, Quarter, Config)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in dashboard</w:t>
            </w:r>
          </w:p>
        </w:tc>
      </w:tr>
      <w:tr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DAX-equivalent measures documented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sql_scripts.sql + docs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888888"/>
        <w:sz w:val="18"/>
        <w:szCs w:val="18"/>
      </w:rPr>
      <w:t xml:space="preserve">GUVI x HCL Project  |  Luxury Housing Sales Analysis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80" w:sz="6" w:space="2"/>
      </w:pBdr>
    </w:pPr>
    <w:r>
      <w:rPr>
        <w:b/>
        <w:bCs/>
        <w:color w:val="1E4080"/>
        <w:sz w:val="20"/>
        <w:szCs w:val="20"/>
      </w:rPr>
      <w:t xml:space="preserve">Luxury Housing Sales Analysis – Bengaluru</w:t>
    </w:r>
    <w:r>
      <w:rPr>
        <w:color w:val="888888"/>
        <w:sz w:val="18"/>
        <w:szCs w:val="18"/>
      </w:rPr>
      <w:t xml:space="preserve">  |  Final Documentation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E408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7CC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2026-03-13T13:16:00.188Z</dcterms:created>
  <dcterms:modified xsi:type="dcterms:W3CDTF">2026-03-13T13:16:00.189Z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