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5F2EEA"/>
          <w:sz w:val="56"/>
          <w:szCs w:val="56"/>
        </w:rPr>
        <w:t xml:space="preserve">5 Business Case Studies</w:t>
      </w:r>
    </w:p>
    <w:p>
      <w:pPr>
        <w:spacing w:after="120"/>
        <w:jc w:val="center"/>
      </w:pPr>
      <w:r>
        <w:rPr>
          <w:rFonts w:ascii="Arial" w:cs="Arial" w:eastAsia="Arial" w:hAnsi="Arial"/>
          <w:color w:val="555555"/>
          <w:sz w:val="28"/>
          <w:szCs w:val="28"/>
        </w:rPr>
        <w:t xml:space="preserve">Analysis Process, Insights &amp; Visualizations</w:t>
      </w:r>
    </w:p>
    <w:p>
      <w:pPr>
        <w:spacing w:after="400"/>
        <w:jc w:val="center"/>
      </w:pPr>
      <w:r>
        <w:rPr>
          <w:rFonts w:ascii="Arial" w:cs="Arial" w:eastAsia="Arial" w:hAnsi="Arial"/>
          <w:color w:val="888888"/>
          <w:sz w:val="22"/>
          <w:szCs w:val="22"/>
        </w:rPr>
        <w:t xml:space="preserve">Addendum to PhonePe Transaction Insights Documentation  |  GUVI × HCL</w:t>
      </w:r>
    </w:p>
    <w:p>
      <w:pPr>
        <w:pBdr>
          <w:bottom w:val="single" w:color="5F2EEA" w:sz="2"/>
        </w:pBdr>
        <w:spacing w:after="200"/>
      </w:pPr>
      <w:r>
        <w:t xml:space="preserve"/>
      </w:r>
    </w:p>
    <w:p>
      <w:pPr>
        <w:pStyle w:val="Heading1"/>
        <w:spacing w:before="400" w:after="160"/>
      </w:pPr>
      <w:r>
        <w:rPr>
          <w:rFonts w:ascii="Arial" w:cs="Arial" w:eastAsia="Arial" w:hAnsi="Arial"/>
          <w:b/>
          <w:bCs/>
          <w:color w:val="5F2EEA"/>
          <w:sz w:val="36"/>
          <w:szCs w:val="36"/>
        </w:rPr>
        <w:t xml:space="preserve">Overview – Selected Business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2100"/>
        <w:gridCol w:w="1860"/>
      </w:tblGrid>
      <w:tr>
        <w:trPr>
          <w:tblHeader/>
        </w:trPr>
        <w:tc>
          <w:tcPr>
            <w:tcW w:type="dxa" w:w="90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220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30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Key SQL</w:t>
            </w:r>
          </w:p>
        </w:tc>
        <w:tc>
          <w:tcPr>
            <w:tcW w:type="dxa" w:w="210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Primary Viz</w:t>
            </w:r>
          </w:p>
        </w:tc>
        <w:tc>
          <w:tcPr>
            <w:tcW w:type="dxa" w:w="186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Top Finding</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BC1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Transaction Dynamics — QoQ/YoY variations</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LAG() window function; State benchmarking</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Multi-line + Heatmap</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P2P leads volume; Merchant Payments fastest QoQ</w:t>
            </w:r>
          </w:p>
        </w:tc>
      </w:tr>
      <w:tr>
        <w:tc>
          <w:tcPr>
            <w:tcW w:type="dxa" w:w="9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BC2</w:t>
            </w:r>
          </w:p>
        </w:tc>
        <w:tc>
          <w:tcPr>
            <w:tcW w:type="dxa" w:w="22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Device Dominance — brand share &amp; engagement gap</w:t>
            </w:r>
          </w:p>
        </w:tc>
        <w:tc>
          <w:tcPr>
            <w:tcW w:type="dxa" w:w="23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OVER() window for %; Underutilised filter</w:t>
            </w:r>
          </w:p>
        </w:tc>
        <w:tc>
          <w:tcPr>
            <w:tcW w:type="dxa" w:w="21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Donut + Heatmap + Scatter quadrant</w:t>
            </w:r>
          </w:p>
        </w:tc>
        <w:tc>
          <w:tcPr>
            <w:tcW w:type="dxa" w:w="186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Samsung+Xiaomi=52%; 4 states &lt;2x engagement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BC3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Insurance Penetration — growth &amp; untapped states</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Penetration rate; Opportunity score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Bar + Dual-axis trend + Treemap</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Avg penetration &lt;2%; Critical priority states</w:t>
            </w:r>
          </w:p>
        </w:tc>
      </w:tr>
      <w:tr>
        <w:tc>
          <w:tcPr>
            <w:tcW w:type="dxa" w:w="9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BC7</w:t>
            </w:r>
          </w:p>
        </w:tc>
        <w:tc>
          <w:tcPr>
            <w:tcW w:type="dxa" w:w="22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State &amp; District Txn — top geo units by value</w:t>
            </w:r>
          </w:p>
        </w:tc>
        <w:tc>
          <w:tcPr>
            <w:tcW w:type="dxa" w:w="23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HHI index; QoQ LAG(); District rollup</w:t>
            </w:r>
          </w:p>
        </w:tc>
        <w:tc>
          <w:tcPr>
            <w:tcW w:type="dxa" w:w="21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State rank bar + District scatter + Heatmap</w:t>
            </w:r>
          </w:p>
        </w:tc>
        <w:tc>
          <w:tcPr>
            <w:tcW w:type="dxa" w:w="186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Top-3 states = 40%; Mumbai #1 district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BC8</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User Registration — top state/dist/pin per quarter</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FIRST_VALUE vs LAST_VALUE; Growth acceleration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Funnel + Tables + Heatmap</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Q1 &amp; Q3 peak acquisition; 3 growth hotspots</w:t>
            </w:r>
          </w:p>
        </w:tc>
      </w:tr>
    </w:tbl>
    <w:p>
      <w:pPr>
        <w:spacing w:after="120"/>
      </w:pPr>
      <w:r>
        <w:t xml:space="preserve"/>
      </w:r>
    </w:p>
    <w:p>
      <w:pPr>
        <w:pStyle w:val="Heading1"/>
        <w:spacing w:before="400" w:after="160"/>
      </w:pPr>
      <w:r>
        <w:rPr>
          <w:rFonts w:ascii="Arial" w:cs="Arial" w:eastAsia="Arial" w:hAnsi="Arial"/>
          <w:b/>
          <w:bCs/>
          <w:color w:val="5F2EEA"/>
          <w:sz w:val="36"/>
          <w:szCs w:val="36"/>
        </w:rPr>
        <w:t xml:space="preserve">BC1: Decoding Transaction Dynamics</w:t>
      </w:r>
    </w:p>
    <w:p>
      <w:pPr>
        <w:pBdr>
          <w:bottom w:val="single" w:color="5F2EEA" w:sz="2"/>
        </w:pBdr>
        <w:spacing w:after="200"/>
      </w:pPr>
      <w:r>
        <w:t xml:space="preserve"/>
      </w:r>
    </w:p>
    <w:p>
      <w:pPr>
        <w:pStyle w:val="Heading2"/>
        <w:spacing w:before="280" w:after="120"/>
      </w:pPr>
      <w:r>
        <w:rPr>
          <w:rFonts w:ascii="Arial" w:cs="Arial" w:eastAsia="Arial" w:hAnsi="Arial"/>
          <w:b/>
          <w:bCs/>
          <w:color w:val="1E1E2E"/>
          <w:sz w:val="28"/>
          <w:szCs w:val="28"/>
        </w:rPr>
        <w:t xml:space="preserv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9FF" w:val="clear"/>
            <w:tcMar>
              <w:top w:type="dxa" w:w="100"/>
              <w:left w:type="dxa" w:w="140"/>
              <w:bottom w:type="dxa" w:w="100"/>
              <w:right w:type="dxa" w:w="140"/>
            </w:tcMar>
          </w:tcPr>
          <w:p>
            <w:r>
              <w:rPr>
                <w:rFonts w:ascii="Arial" w:cs="Arial" w:eastAsia="Arial" w:hAnsi="Arial"/>
                <w:color w:val="333333"/>
                <w:sz w:val="22"/>
                <w:szCs w:val="22"/>
              </w:rPr>
              <w:t xml:space="preserve">PhonePe has identified significant variations in transaction behavior across states, quarters, and payment categories. While some regions show consistent growth, others stagnate or decline. Leadership seeks targeted strategies to address each pattern.</w:t>
            </w:r>
          </w:p>
        </w:tc>
      </w:tr>
    </w:tbl>
    <w:p>
      <w:pPr>
        <w:spacing w:after="120"/>
      </w:pPr>
      <w:r>
        <w:t xml:space="preserve"/>
      </w:r>
    </w:p>
    <w:p>
      <w:pPr>
        <w:pStyle w:val="Heading2"/>
        <w:spacing w:before="280" w:after="120"/>
      </w:pPr>
      <w:r>
        <w:rPr>
          <w:rFonts w:ascii="Arial" w:cs="Arial" w:eastAsia="Arial" w:hAnsi="Arial"/>
          <w:b/>
          <w:bCs/>
          <w:color w:val="1E1E2E"/>
          <w:sz w:val="28"/>
          <w:szCs w:val="28"/>
        </w:rPr>
        <w:t xml:space="preserve">Analysis Process</w:t>
      </w:r>
    </w:p>
    <w:p>
      <w:pPr>
        <w:pStyle w:val="Heading3"/>
        <w:spacing w:before="200" w:after="80"/>
      </w:pPr>
      <w:r>
        <w:rPr>
          <w:rFonts w:ascii="Arial" w:cs="Arial" w:eastAsia="Arial" w:hAnsi="Arial"/>
          <w:b/>
          <w:bCs/>
          <w:color w:val="333333"/>
          <w:sz w:val="24"/>
          <w:szCs w:val="24"/>
        </w:rPr>
        <w:t xml:space="preserve">Step 1 — Aggregate by Category and Quarter</w:t>
      </w:r>
    </w:p>
    <w:p>
      <w:pPr>
        <w:spacing w:after="120"/>
      </w:pPr>
      <w:r>
        <w:rPr>
          <w:rFonts w:ascii="Arial" w:cs="Arial" w:eastAsia="Arial" w:hAnsi="Arial"/>
          <w:color w:val="333333"/>
          <w:sz w:val="22"/>
          <w:szCs w:val="22"/>
        </w:rPr>
        <w:t xml:space="preserve">All transactions are grouped by year, quarter, and transaction_type using SUM() aggregations on transaction_count and transaction_amount from the Aggregated_transaction table.</w:t>
      </w:r>
    </w:p>
    <w:p>
      <w:pPr>
        <w:shd w:fill="F8F7FF" w:val="clear"/>
        <w:spacing w:before="60" w:after="80"/>
      </w:pPr>
      <w:r>
        <w:rPr>
          <w:rFonts w:ascii="Courier New" w:cs="Courier New" w:eastAsia="Courier New" w:hAnsi="Courier New"/>
          <w:color w:val="333333"/>
          <w:sz w:val="18"/>
          <w:szCs w:val="18"/>
        </w:rPr>
        <w:t xml:space="preserve">SELECT year, quarter, transaction_type, SUM(transaction_count) AS total_count, SUM(transaction_amount) AS total_amount FROM Aggregated_transaction GROUP BY year, quarter, transaction_type;</w:t>
      </w:r>
    </w:p>
    <w:p>
      <w:pPr>
        <w:pStyle w:val="Heading3"/>
        <w:spacing w:before="200" w:after="80"/>
      </w:pPr>
      <w:r>
        <w:rPr>
          <w:rFonts w:ascii="Arial" w:cs="Arial" w:eastAsia="Arial" w:hAnsi="Arial"/>
          <w:b/>
          <w:bCs/>
          <w:color w:val="333333"/>
          <w:sz w:val="24"/>
          <w:szCs w:val="24"/>
        </w:rPr>
        <w:t xml:space="preserve">Step 2 — Quarter-on-Quarter Growth</w:t>
      </w:r>
    </w:p>
    <w:p>
      <w:pPr>
        <w:spacing w:after="120"/>
      </w:pPr>
      <w:r>
        <w:rPr>
          <w:rFonts w:ascii="Arial" w:cs="Arial" w:eastAsia="Arial" w:hAnsi="Arial"/>
          <w:color w:val="333333"/>
          <w:sz w:val="22"/>
          <w:szCs w:val="22"/>
        </w:rPr>
        <w:t xml:space="preserve">The LAG() window function partitioned by transaction_type and ordered by year, quarter computes the previous quarter's value. QoQ growth = (current - previous) / previous * 100.</w:t>
      </w:r>
    </w:p>
    <w:p>
      <w:pPr>
        <w:shd w:fill="F8F7FF" w:val="clear"/>
        <w:spacing w:before="60" w:after="80"/>
      </w:pPr>
      <w:r>
        <w:rPr>
          <w:rFonts w:ascii="Courier New" w:cs="Courier New" w:eastAsia="Courier New" w:hAnsi="Courier New"/>
          <w:color w:val="333333"/>
          <w:sz w:val="18"/>
          <w:szCs w:val="18"/>
        </w:rPr>
        <w:t xml:space="preserve">LAG(total_amount) OVER (PARTITION BY transaction_type ORDER BY year, quarter) AS prev_amount</w:t>
      </w:r>
    </w:p>
    <w:p>
      <w:pPr>
        <w:pStyle w:val="Heading3"/>
        <w:spacing w:before="200" w:after="80"/>
      </w:pPr>
      <w:r>
        <w:rPr>
          <w:rFonts w:ascii="Arial" w:cs="Arial" w:eastAsia="Arial" w:hAnsi="Arial"/>
          <w:b/>
          <w:bCs/>
          <w:color w:val="333333"/>
          <w:sz w:val="24"/>
          <w:szCs w:val="24"/>
        </w:rPr>
        <w:t xml:space="preserve">Step 3 — State Benchmarking</w:t>
      </w:r>
    </w:p>
    <w:p>
      <w:pPr>
        <w:spacing w:after="120"/>
      </w:pPr>
      <w:r>
        <w:rPr>
          <w:rFonts w:ascii="Arial" w:cs="Arial" w:eastAsia="Arial" w:hAnsi="Arial"/>
          <w:color w:val="333333"/>
          <w:sz w:val="22"/>
          <w:szCs w:val="22"/>
        </w:rPr>
        <w:t xml:space="preserve">Each state's total transaction amount is compared against the national average computed across all states. A vs_national_pct metric shows percentage deviation from the mean.</w:t>
      </w:r>
    </w:p>
    <w:p>
      <w:pPr>
        <w:pStyle w:val="Heading3"/>
        <w:spacing w:before="200" w:after="80"/>
      </w:pPr>
      <w:r>
        <w:rPr>
          <w:rFonts w:ascii="Arial" w:cs="Arial" w:eastAsia="Arial" w:hAnsi="Arial"/>
          <w:b/>
          <w:bCs/>
          <w:color w:val="333333"/>
          <w:sz w:val="24"/>
          <w:szCs w:val="24"/>
        </w:rPr>
        <w:t xml:space="preserve">Step 4 — Decline Detection</w:t>
      </w:r>
    </w:p>
    <w:p>
      <w:pPr>
        <w:spacing w:after="120"/>
      </w:pPr>
      <w:r>
        <w:rPr>
          <w:rFonts w:ascii="Arial" w:cs="Arial" w:eastAsia="Arial" w:hAnsi="Arial"/>
          <w:color w:val="333333"/>
          <w:sz w:val="22"/>
          <w:szCs w:val="22"/>
        </w:rPr>
        <w:t xml:space="preserve">States where transaction_amount &lt; prev_amount for two or more consecutive quarters are flagged as declining or stagnant, triggering targeted investigation and intervention strategies.</w:t>
      </w:r>
    </w:p>
    <w:p>
      <w:pPr>
        <w:spacing w:after="120"/>
      </w:pPr>
      <w:r>
        <w:t xml:space="preserve"/>
      </w:r>
    </w:p>
    <w:p>
      <w:pPr>
        <w:pStyle w:val="Heading2"/>
        <w:spacing w:before="280" w:after="120"/>
      </w:pPr>
      <w:r>
        <w:rPr>
          <w:rFonts w:ascii="Arial" w:cs="Arial" w:eastAsia="Arial" w:hAnsi="Arial"/>
          <w:b/>
          <w:bCs/>
          <w:color w:val="1E1E2E"/>
          <w:sz w:val="28"/>
          <w:szCs w:val="28"/>
        </w:rPr>
        <w:t xml:space="preserve">Visualizations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Chart</w:t>
            </w:r>
          </w:p>
        </w:tc>
        <w:tc>
          <w:tcPr>
            <w:tcW w:type="dxa" w:w="348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Type &amp; Library</w:t>
            </w:r>
          </w:p>
        </w:tc>
        <w:tc>
          <w:tcPr>
            <w:tcW w:type="dxa" w:w="348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QoQ Trend Lines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px.line — multi-series, markers=True, lineSmooth</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Transaction amount per category across all quarters. Each category = one colored line. Reveals P2P dominance and Merchant Payments acceleration.</w:t>
            </w:r>
          </w:p>
        </w:tc>
      </w:tr>
      <w:tr>
        <w:tc>
          <w:tcPr>
            <w:tcW w:type="dxa" w:w="24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QoQ Growth Heatmap</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px.imshow — Category × Quarter pivot, Purples scale</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Color intensity maps amount per cell. Instantly identifies which category-quarter combinations are over/underperforming.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State Comparison Bar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px.bar — horizontal, RdYlGn color, dashed avg line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States ranked by value. Color = deviation from national average. Stagnant states visible as red below dashed line.</w:t>
            </w:r>
          </w:p>
        </w:tc>
      </w:tr>
      <w:tr>
        <w:tc>
          <w:tcPr>
            <w:tcW w:type="dxa" w:w="24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Volume vs Value Scatter</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px.scatter — size=avg_txn, color=vs_avg</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Bubble chart exposing states with high count but low value (micro-payment opportunity) vs high value but low count (premium).</w:t>
            </w:r>
          </w:p>
        </w:tc>
      </w:tr>
    </w:tbl>
    <w:p>
      <w:pPr>
        <w:spacing w:after="120"/>
      </w:pPr>
      <w:r>
        <w:t xml:space="preserve"/>
      </w:r>
    </w:p>
    <w:p>
      <w:pPr>
        <w:pStyle w:val="Heading2"/>
        <w:spacing w:before="280" w:after="120"/>
      </w:pPr>
      <w:r>
        <w:rPr>
          <w:rFonts w:ascii="Arial" w:cs="Arial" w:eastAsia="Arial" w:hAnsi="Arial"/>
          <w:b/>
          <w:bCs/>
          <w:color w:val="1E1E2E"/>
          <w:sz w:val="28"/>
          <w:szCs w:val="28"/>
        </w:rPr>
        <w:t xml:space="preserve">Key Insights</w:t>
      </w:r>
    </w:p>
    <w:p>
      <w:pPr>
        <w:pStyle w:val="ListParagraph"/>
        <w:numPr>
          <w:ilvl w:val="0"/>
          <w:numId w:val="2"/>
        </w:numPr>
        <w:spacing w:after="80"/>
      </w:pPr>
      <w:r>
        <w:rPr>
          <w:rFonts w:ascii="Arial" w:cs="Arial" w:eastAsia="Arial" w:hAnsi="Arial"/>
          <w:b/>
          <w:bCs/>
          <w:color w:val="1E1E2E"/>
          <w:sz w:val="22"/>
          <w:szCs w:val="22"/>
        </w:rPr>
        <w:t xml:space="preserve">Volume vs Value: </w:t>
      </w:r>
      <w:r>
        <w:rPr>
          <w:rFonts w:ascii="Arial" w:cs="Arial" w:eastAsia="Arial" w:hAnsi="Arial"/>
          <w:color w:val="333333"/>
          <w:sz w:val="22"/>
          <w:szCs w:val="22"/>
        </w:rPr>
        <w:t xml:space="preserve">Peer-to-Peer transfers account for ~45% of transaction volume but Financial Services commands the highest average ticket size (~3.5x higher than P2P) — direct upsell opportunity.</w:t>
      </w:r>
    </w:p>
    <w:p>
      <w:pPr>
        <w:pStyle w:val="ListParagraph"/>
        <w:numPr>
          <w:ilvl w:val="0"/>
          <w:numId w:val="2"/>
        </w:numPr>
        <w:spacing w:after="80"/>
      </w:pPr>
      <w:r>
        <w:rPr>
          <w:rFonts w:ascii="Arial" w:cs="Arial" w:eastAsia="Arial" w:hAnsi="Arial"/>
          <w:b/>
          <w:bCs/>
          <w:color w:val="1E1E2E"/>
          <w:sz w:val="22"/>
          <w:szCs w:val="22"/>
        </w:rPr>
        <w:t xml:space="preserve">Growth Leader: </w:t>
      </w:r>
      <w:r>
        <w:rPr>
          <w:rFonts w:ascii="Arial" w:cs="Arial" w:eastAsia="Arial" w:hAnsi="Arial"/>
          <w:color w:val="333333"/>
          <w:sz w:val="22"/>
          <w:szCs w:val="22"/>
        </w:rPr>
        <w:t xml:space="preserve">Merchant Payments shows the fastest QoQ growth (+18%), confirming merchant acquisition is the highest-ROI investment category.</w:t>
      </w:r>
    </w:p>
    <w:p>
      <w:pPr>
        <w:pStyle w:val="ListParagraph"/>
        <w:numPr>
          <w:ilvl w:val="0"/>
          <w:numId w:val="2"/>
        </w:numPr>
        <w:spacing w:after="80"/>
      </w:pPr>
      <w:r>
        <w:rPr>
          <w:rFonts w:ascii="Arial" w:cs="Arial" w:eastAsia="Arial" w:hAnsi="Arial"/>
          <w:b/>
          <w:bCs/>
          <w:color w:val="1E1E2E"/>
          <w:sz w:val="22"/>
          <w:szCs w:val="22"/>
        </w:rPr>
        <w:t xml:space="preserve">Seasonality: </w:t>
      </w:r>
      <w:r>
        <w:rPr>
          <w:rFonts w:ascii="Arial" w:cs="Arial" w:eastAsia="Arial" w:hAnsi="Arial"/>
          <w:color w:val="333333"/>
          <w:sz w:val="22"/>
          <w:szCs w:val="22"/>
        </w:rPr>
        <w:t xml:space="preserve">Q4 consistently spikes across all categories — festival and year-end spending surge should be pre-empted with Q3 campaign launches.</w:t>
      </w:r>
    </w:p>
    <w:p>
      <w:pPr>
        <w:pStyle w:val="ListParagraph"/>
        <w:numPr>
          <w:ilvl w:val="0"/>
          <w:numId w:val="2"/>
        </w:numPr>
        <w:spacing w:after="80"/>
      </w:pPr>
      <w:r>
        <w:rPr>
          <w:rFonts w:ascii="Arial" w:cs="Arial" w:eastAsia="Arial" w:hAnsi="Arial"/>
          <w:b/>
          <w:bCs/>
          <w:color w:val="1E1E2E"/>
          <w:sz w:val="22"/>
          <w:szCs w:val="22"/>
        </w:rPr>
        <w:t xml:space="preserve">State Patterns: </w:t>
      </w:r>
      <w:r>
        <w:rPr>
          <w:rFonts w:ascii="Arial" w:cs="Arial" w:eastAsia="Arial" w:hAnsi="Arial"/>
          <w:color w:val="333333"/>
          <w:sz w:val="22"/>
          <w:szCs w:val="22"/>
        </w:rPr>
        <w:t xml:space="preserve">States below national average in transaction value are not necessarily low-engagement — many have high counts but low average values, indicating micro-payment user bases that can be upgraded.</w:t>
      </w:r>
    </w:p>
    <w:p>
      <w:pPr>
        <w:spacing w:after="120"/>
      </w:pPr>
      <w:r>
        <w:t xml:space="preserve"/>
      </w:r>
    </w:p>
    <w:p>
      <w:pPr>
        <w:pStyle w:val="Heading1"/>
        <w:spacing w:before="400" w:after="160"/>
      </w:pPr>
      <w:r>
        <w:rPr>
          <w:rFonts w:ascii="Arial" w:cs="Arial" w:eastAsia="Arial" w:hAnsi="Arial"/>
          <w:b/>
          <w:bCs/>
          <w:color w:val="065A82"/>
          <w:sz w:val="36"/>
          <w:szCs w:val="36"/>
        </w:rPr>
        <w:t xml:space="preserve">BC2: Device Dominance &amp; User Engagement Analysis</w:t>
      </w:r>
    </w:p>
    <w:p>
      <w:pPr>
        <w:pBdr>
          <w:bottom w:val="single" w:color="5F2EEA" w:sz="2"/>
        </w:pBdr>
        <w:spacing w:after="200"/>
      </w:pPr>
      <w:r>
        <w:t xml:space="preserve"/>
      </w:r>
    </w:p>
    <w:p>
      <w:pPr>
        <w:pStyle w:val="Heading2"/>
        <w:spacing w:before="280" w:after="120"/>
      </w:pPr>
      <w:r>
        <w:rPr>
          <w:rFonts w:ascii="Arial" w:cs="Arial" w:eastAsia="Arial" w:hAnsi="Arial"/>
          <w:b/>
          <w:bCs/>
          <w:color w:val="1E1E2E"/>
          <w:sz w:val="28"/>
          <w:szCs w:val="28"/>
        </w:rPr>
        <w:t xml:space="preserv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7FD" w:val="clear"/>
            <w:tcMar>
              <w:top w:type="dxa" w:w="100"/>
              <w:left w:type="dxa" w:w="140"/>
              <w:bottom w:type="dxa" w:w="100"/>
              <w:right w:type="dxa" w:w="140"/>
            </w:tcMar>
          </w:tcPr>
          <w:p>
            <w:r>
              <w:rPr>
                <w:rFonts w:ascii="Arial" w:cs="Arial" w:eastAsia="Arial" w:hAnsi="Arial"/>
                <w:color w:val="333333"/>
                <w:sz w:val="22"/>
                <w:szCs w:val="22"/>
              </w:rPr>
              <w:t xml:space="preserve">PhonePe aims to enhance user engagement and improve app performance by understanding preferences across device brands. Trends vary by region — some devices show high registrations but low app activity, revealing an underutilisation gap addressable via targeted UX improvements.</w:t>
            </w:r>
          </w:p>
        </w:tc>
      </w:tr>
    </w:tbl>
    <w:p>
      <w:pPr>
        <w:spacing w:after="120"/>
      </w:pPr>
      <w:r>
        <w:t xml:space="preserve"/>
      </w:r>
    </w:p>
    <w:p>
      <w:pPr>
        <w:pStyle w:val="Heading2"/>
        <w:spacing w:before="280" w:after="120"/>
      </w:pPr>
      <w:r>
        <w:rPr>
          <w:rFonts w:ascii="Arial" w:cs="Arial" w:eastAsia="Arial" w:hAnsi="Arial"/>
          <w:b/>
          <w:bCs/>
          <w:color w:val="1E1E2E"/>
          <w:sz w:val="28"/>
          <w:szCs w:val="28"/>
        </w:rPr>
        <w:t xml:space="preserve">Analysis Process</w:t>
      </w:r>
    </w:p>
    <w:p>
      <w:pPr>
        <w:pStyle w:val="Heading3"/>
        <w:spacing w:before="200" w:after="80"/>
      </w:pPr>
      <w:r>
        <w:rPr>
          <w:rFonts w:ascii="Arial" w:cs="Arial" w:eastAsia="Arial" w:hAnsi="Arial"/>
          <w:b/>
          <w:bCs/>
          <w:color w:val="333333"/>
          <w:sz w:val="24"/>
          <w:szCs w:val="24"/>
        </w:rPr>
        <w:t xml:space="preserve">Step 1 — Device Brand Market Share</w:t>
      </w:r>
    </w:p>
    <w:p>
      <w:pPr>
        <w:spacing w:after="120"/>
      </w:pPr>
      <w:r>
        <w:rPr>
          <w:rFonts w:ascii="Arial" w:cs="Arial" w:eastAsia="Arial" w:hAnsi="Arial"/>
          <w:color w:val="333333"/>
          <w:sz w:val="22"/>
          <w:szCs w:val="22"/>
        </w:rPr>
        <w:t xml:space="preserve">User counts are aggregated per brand nationally and per state. The OVER() window function computes each brand's percentage of total users — nationally and within each state partition.</w:t>
      </w:r>
    </w:p>
    <w:p>
      <w:pPr>
        <w:shd w:fill="F8F7FF" w:val="clear"/>
        <w:spacing w:before="60" w:after="80"/>
      </w:pPr>
      <w:r>
        <w:rPr>
          <w:rFonts w:ascii="Courier New" w:cs="Courier New" w:eastAsia="Courier New" w:hAnsi="Courier New"/>
          <w:color w:val="333333"/>
          <w:sz w:val="18"/>
          <w:szCs w:val="18"/>
        </w:rPr>
        <w:t xml:space="preserve">ROUND(100.0*SUM(user_count)/SUM(SUM(user_count)) OVER(), 2) AS market_share_pct</w:t>
      </w:r>
    </w:p>
    <w:p>
      <w:pPr>
        <w:pStyle w:val="Heading3"/>
        <w:spacing w:before="200" w:after="80"/>
      </w:pPr>
      <w:r>
        <w:rPr>
          <w:rFonts w:ascii="Arial" w:cs="Arial" w:eastAsia="Arial" w:hAnsi="Arial"/>
          <w:b/>
          <w:bCs/>
          <w:color w:val="333333"/>
          <w:sz w:val="24"/>
          <w:szCs w:val="24"/>
        </w:rPr>
        <w:t xml:space="preserve">Step 2 — Engagement Ratio</w:t>
      </w:r>
    </w:p>
    <w:p>
      <w:pPr>
        <w:spacing w:after="120"/>
      </w:pPr>
      <w:r>
        <w:rPr>
          <w:rFonts w:ascii="Arial" w:cs="Arial" w:eastAsia="Arial" w:hAnsi="Arial"/>
          <w:color w:val="333333"/>
          <w:sz w:val="22"/>
          <w:szCs w:val="22"/>
        </w:rPr>
        <w:t xml:space="preserve">Engagement ratio is computed as app_opens / registered_users per state and quarter. This metric reveals how actively registered users actually open the app — a key retention health indicator.</w:t>
      </w:r>
    </w:p>
    <w:p>
      <w:pPr>
        <w:shd w:fill="F8F7FF" w:val="clear"/>
        <w:spacing w:before="60" w:after="80"/>
      </w:pPr>
      <w:r>
        <w:rPr>
          <w:rFonts w:ascii="Courier New" w:cs="Courier New" w:eastAsia="Courier New" w:hAnsi="Courier New"/>
          <w:color w:val="333333"/>
          <w:sz w:val="18"/>
          <w:szCs w:val="18"/>
        </w:rPr>
        <w:t xml:space="preserve">ROUND(MAX(app_opens)/NULLIF(MAX(registered_users),0), 4) AS engagement_ratio</w:t>
      </w:r>
    </w:p>
    <w:p>
      <w:pPr>
        <w:pStyle w:val="Heading3"/>
        <w:spacing w:before="200" w:after="80"/>
      </w:pPr>
      <w:r>
        <w:rPr>
          <w:rFonts w:ascii="Arial" w:cs="Arial" w:eastAsia="Arial" w:hAnsi="Arial"/>
          <w:b/>
          <w:bCs/>
          <w:color w:val="333333"/>
          <w:sz w:val="24"/>
          <w:szCs w:val="24"/>
        </w:rPr>
        <w:t xml:space="preserve">Step 3 — Underutilised Device Detection</w:t>
      </w:r>
    </w:p>
    <w:p>
      <w:pPr>
        <w:spacing w:after="120"/>
      </w:pPr>
      <w:r>
        <w:rPr>
          <w:rFonts w:ascii="Arial" w:cs="Arial" w:eastAsia="Arial" w:hAnsi="Arial"/>
          <w:color w:val="333333"/>
          <w:sz w:val="22"/>
          <w:szCs w:val="22"/>
        </w:rPr>
        <w:t xml:space="preserve">Brands with ≥15% state market share but whose rank by share is position 4 or lower are flagged as underutilised. These are devices users have registered on but which they do not actively use for transactions.</w:t>
      </w:r>
    </w:p>
    <w:p>
      <w:pPr>
        <w:shd w:fill="F8F7FF" w:val="clear"/>
        <w:spacing w:before="60" w:after="80"/>
      </w:pPr>
      <w:r>
        <w:rPr>
          <w:rFonts w:ascii="Courier New" w:cs="Courier New" w:eastAsia="Courier New" w:hAnsi="Courier New"/>
          <w:color w:val="333333"/>
          <w:sz w:val="18"/>
          <w:szCs w:val="18"/>
        </w:rPr>
        <w:t xml:space="preserve">WHERE state_share_pct &gt;= 15 AND brand_rank &gt; 3  -- high share, low engagement</w:t>
      </w:r>
    </w:p>
    <w:p>
      <w:pPr>
        <w:pStyle w:val="Heading3"/>
        <w:spacing w:before="200" w:after="80"/>
      </w:pPr>
      <w:r>
        <w:rPr>
          <w:rFonts w:ascii="Arial" w:cs="Arial" w:eastAsia="Arial" w:hAnsi="Arial"/>
          <w:b/>
          <w:bCs/>
          <w:color w:val="333333"/>
          <w:sz w:val="24"/>
          <w:szCs w:val="24"/>
        </w:rPr>
        <w:t xml:space="preserve">Step 4 — Year-on-Year User Growth</w:t>
      </w:r>
    </w:p>
    <w:p>
      <w:pPr>
        <w:spacing w:after="120"/>
      </w:pPr>
      <w:r>
        <w:rPr>
          <w:rFonts w:ascii="Arial" w:cs="Arial" w:eastAsia="Arial" w:hAnsi="Arial"/>
          <w:color w:val="333333"/>
          <w:sz w:val="22"/>
          <w:szCs w:val="22"/>
        </w:rPr>
        <w:t xml:space="preserve">LAG() window function partitioned by state and ordered by year computes previous year's registered user count. YoY growth percentage is derived and ranked to identify the fastest-growing regional user bases.</w:t>
      </w:r>
    </w:p>
    <w:p>
      <w:pPr>
        <w:spacing w:after="120"/>
      </w:pPr>
      <w:r>
        <w:t xml:space="preserve"/>
      </w:r>
    </w:p>
    <w:p>
      <w:pPr>
        <w:pStyle w:val="Heading2"/>
        <w:spacing w:before="280" w:after="120"/>
      </w:pPr>
      <w:r>
        <w:rPr>
          <w:rFonts w:ascii="Arial" w:cs="Arial" w:eastAsia="Arial" w:hAnsi="Arial"/>
          <w:b/>
          <w:bCs/>
          <w:color w:val="1E1E2E"/>
          <w:sz w:val="28"/>
          <w:szCs w:val="28"/>
        </w:rPr>
        <w:t xml:space="preserve">Visualizations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Chart</w:t>
            </w:r>
          </w:p>
        </w:tc>
        <w:tc>
          <w:tcPr>
            <w:tcW w:type="dxa" w:w="348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Type &amp; Library</w:t>
            </w:r>
          </w:p>
        </w:tc>
        <w:tc>
          <w:tcPr>
            <w:tcW w:type="dxa" w:w="348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Brand Market Share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px.pie — hole=0.4 donut, color_discrete_sequence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National brand breakdown. Samsung+Xiaomi = 52%. Signals Android-first development priority.</w:t>
            </w:r>
          </w:p>
        </w:tc>
      </w:tr>
      <w:tr>
        <w:tc>
          <w:tcPr>
            <w:tcW w:type="dxa" w:w="24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Brand × State Heatmap</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px.imshow — state × brand pivot, Purples scale</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Shows which brands dominate in which states. Reveals regional variation — Xiaomi in UP, Samsung in Karnataka.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Engagement Ratio Bar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px.bar — horizontal, Purples color, sorted desc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State engagement ratios ranked. Bars below threshold highlighted. Immediate re-engagement campaign targets visible.</w:t>
            </w:r>
          </w:p>
        </w:tc>
      </w:tr>
      <w:tr>
        <w:tc>
          <w:tcPr>
            <w:tcW w:type="dxa" w:w="24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Underutilisation Scatter</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px.scatter — x=share%, y=opens/user, bubble=users</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Quadrant chart: top-left = underutilised (high share, low engagement). Horizontal and vertical baselines drawn at state averages.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Dual-Axis Growth Chart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make_subplots secondary_y: Bar=users, Line=ratio</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Registered users (bar) and engagement ratio (line) over time. Divergence signals users growing faster than engagement — onboarding friction indicator.</w:t>
            </w:r>
          </w:p>
        </w:tc>
      </w:tr>
    </w:tbl>
    <w:p>
      <w:pPr>
        <w:spacing w:after="120"/>
      </w:pPr>
      <w:r>
        <w:t xml:space="preserve"/>
      </w:r>
    </w:p>
    <w:p>
      <w:pPr>
        <w:pStyle w:val="Heading2"/>
        <w:spacing w:before="280" w:after="120"/>
      </w:pPr>
      <w:r>
        <w:rPr>
          <w:rFonts w:ascii="Arial" w:cs="Arial" w:eastAsia="Arial" w:hAnsi="Arial"/>
          <w:b/>
          <w:bCs/>
          <w:color w:val="1E1E2E"/>
          <w:sz w:val="28"/>
          <w:szCs w:val="28"/>
        </w:rPr>
        <w:t xml:space="preserve">Key Insights</w:t>
      </w:r>
    </w:p>
    <w:p>
      <w:pPr>
        <w:pStyle w:val="ListParagraph"/>
        <w:numPr>
          <w:ilvl w:val="0"/>
          <w:numId w:val="2"/>
        </w:numPr>
        <w:spacing w:after="80"/>
      </w:pPr>
      <w:r>
        <w:rPr>
          <w:rFonts w:ascii="Arial" w:cs="Arial" w:eastAsia="Arial" w:hAnsi="Arial"/>
          <w:b/>
          <w:bCs/>
          <w:color w:val="1E1E2E"/>
          <w:sz w:val="22"/>
          <w:szCs w:val="22"/>
        </w:rPr>
        <w:t xml:space="preserve">Device Dominance: </w:t>
      </w:r>
      <w:r>
        <w:rPr>
          <w:rFonts w:ascii="Arial" w:cs="Arial" w:eastAsia="Arial" w:hAnsi="Arial"/>
          <w:color w:val="333333"/>
          <w:sz w:val="22"/>
          <w:szCs w:val="22"/>
        </w:rPr>
        <w:t xml:space="preserve">Samsung and Xiaomi combined represent 52% of the PhonePe user base — Android-first UI optimisation should be the top product priority.</w:t>
      </w:r>
    </w:p>
    <w:p>
      <w:pPr>
        <w:pStyle w:val="ListParagraph"/>
        <w:numPr>
          <w:ilvl w:val="0"/>
          <w:numId w:val="2"/>
        </w:numPr>
        <w:spacing w:after="80"/>
      </w:pPr>
      <w:r>
        <w:rPr>
          <w:rFonts w:ascii="Arial" w:cs="Arial" w:eastAsia="Arial" w:hAnsi="Arial"/>
          <w:b/>
          <w:bCs/>
          <w:color w:val="1E1E2E"/>
          <w:sz w:val="22"/>
          <w:szCs w:val="22"/>
        </w:rPr>
        <w:t xml:space="preserve">Engagement Gap: </w:t>
      </w:r>
      <w:r>
        <w:rPr>
          <w:rFonts w:ascii="Arial" w:cs="Arial" w:eastAsia="Arial" w:hAnsi="Arial"/>
          <w:color w:val="333333"/>
          <w:sz w:val="22"/>
          <w:szCs w:val="22"/>
        </w:rPr>
        <w:t xml:space="preserve">States with engagement ratio below 2x have users who registered but rarely open the app. Targeted push notification campaigns and in-app rewards can re-activate this dormant segment.</w:t>
      </w:r>
    </w:p>
    <w:p>
      <w:pPr>
        <w:pStyle w:val="ListParagraph"/>
        <w:numPr>
          <w:ilvl w:val="0"/>
          <w:numId w:val="2"/>
        </w:numPr>
        <w:spacing w:after="80"/>
      </w:pPr>
      <w:r>
        <w:rPr>
          <w:rFonts w:ascii="Arial" w:cs="Arial" w:eastAsia="Arial" w:hAnsi="Arial"/>
          <w:b/>
          <w:bCs/>
          <w:color w:val="1E1E2E"/>
          <w:sz w:val="22"/>
          <w:szCs w:val="22"/>
        </w:rPr>
        <w:t xml:space="preserve">Underutilisation: </w:t>
      </w:r>
      <w:r>
        <w:rPr>
          <w:rFonts w:ascii="Arial" w:cs="Arial" w:eastAsia="Arial" w:hAnsi="Arial"/>
          <w:color w:val="333333"/>
          <w:sz w:val="22"/>
          <w:szCs w:val="22"/>
        </w:rPr>
        <w:t xml:space="preserve">The Underutilisation Quadrant identifies specific brand-state combinations with high market share but low app activity — indicating device-specific UX friction or onboarding failure points.</w:t>
      </w:r>
    </w:p>
    <w:p>
      <w:pPr>
        <w:pStyle w:val="ListParagraph"/>
        <w:numPr>
          <w:ilvl w:val="0"/>
          <w:numId w:val="2"/>
        </w:numPr>
        <w:spacing w:after="80"/>
      </w:pPr>
      <w:r>
        <w:rPr>
          <w:rFonts w:ascii="Arial" w:cs="Arial" w:eastAsia="Arial" w:hAnsi="Arial"/>
          <w:b/>
          <w:bCs/>
          <w:color w:val="1E1E2E"/>
          <w:sz w:val="22"/>
          <w:szCs w:val="22"/>
        </w:rPr>
        <w:t xml:space="preserve">Regional Disparity: </w:t>
      </w:r>
      <w:r>
        <w:rPr>
          <w:rFonts w:ascii="Arial" w:cs="Arial" w:eastAsia="Arial" w:hAnsi="Arial"/>
          <w:color w:val="333333"/>
          <w:sz w:val="22"/>
          <w:szCs w:val="22"/>
        </w:rPr>
        <w:t xml:space="preserve">Engagement ratio has been growing steadily each year, confirming product-market fit improvement, but geographic disparity remains high — top states are 2.4x more engaged than bottom states.</w:t>
      </w:r>
    </w:p>
    <w:p>
      <w:pPr>
        <w:spacing w:after="120"/>
      </w:pPr>
      <w:r>
        <w:t xml:space="preserve"/>
      </w:r>
    </w:p>
    <w:p>
      <w:pPr>
        <w:pStyle w:val="Heading1"/>
        <w:spacing w:before="400" w:after="160"/>
      </w:pPr>
      <w:r>
        <w:rPr>
          <w:rFonts w:ascii="Arial" w:cs="Arial" w:eastAsia="Arial" w:hAnsi="Arial"/>
          <w:b/>
          <w:bCs/>
          <w:color w:val="FF6B35"/>
          <w:sz w:val="36"/>
          <w:szCs w:val="36"/>
        </w:rPr>
        <w:t xml:space="preserve">BC3: Insurance Penetration &amp; Growth Potential</w:t>
      </w:r>
    </w:p>
    <w:p>
      <w:pPr>
        <w:pBdr>
          <w:bottom w:val="single" w:color="5F2EEA" w:sz="2"/>
        </w:pBdr>
        <w:spacing w:after="200"/>
      </w:pPr>
      <w:r>
        <w:t xml:space="preserve"/>
      </w:r>
    </w:p>
    <w:p>
      <w:pPr>
        <w:pStyle w:val="Heading2"/>
        <w:spacing w:before="280" w:after="120"/>
      </w:pPr>
      <w:r>
        <w:rPr>
          <w:rFonts w:ascii="Arial" w:cs="Arial" w:eastAsia="Arial" w:hAnsi="Arial"/>
          <w:b/>
          <w:bCs/>
          <w:color w:val="1E1E2E"/>
          <w:sz w:val="28"/>
          <w:szCs w:val="28"/>
        </w:rPr>
        <w:t xml:space="preserv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color w:val="333333"/>
                <w:sz w:val="22"/>
                <w:szCs w:val="22"/>
              </w:rPr>
              <w:t xml:space="preserve">PhonePe has ventured into the insurance domain. With growing transactions in this segment, the company seeks to analyze growth trajectory and identify untapped opportunities at the state level — to prioritize regions for marketing efforts and partnerships with insurers.</w:t>
            </w:r>
          </w:p>
        </w:tc>
      </w:tr>
    </w:tbl>
    <w:p>
      <w:pPr>
        <w:spacing w:after="120"/>
      </w:pPr>
      <w:r>
        <w:t xml:space="preserve"/>
      </w:r>
    </w:p>
    <w:p>
      <w:pPr>
        <w:pStyle w:val="Heading2"/>
        <w:spacing w:before="280" w:after="120"/>
      </w:pPr>
      <w:r>
        <w:rPr>
          <w:rFonts w:ascii="Arial" w:cs="Arial" w:eastAsia="Arial" w:hAnsi="Arial"/>
          <w:b/>
          <w:bCs/>
          <w:color w:val="1E1E2E"/>
          <w:sz w:val="28"/>
          <w:szCs w:val="28"/>
        </w:rPr>
        <w:t xml:space="preserve">Analysis Process</w:t>
      </w:r>
    </w:p>
    <w:p>
      <w:pPr>
        <w:pStyle w:val="Heading3"/>
        <w:spacing w:before="200" w:after="80"/>
      </w:pPr>
      <w:r>
        <w:rPr>
          <w:rFonts w:ascii="Arial" w:cs="Arial" w:eastAsia="Arial" w:hAnsi="Arial"/>
          <w:b/>
          <w:bCs/>
          <w:color w:val="333333"/>
          <w:sz w:val="24"/>
          <w:szCs w:val="24"/>
        </w:rPr>
        <w:t xml:space="preserve">Step 1 — Penetration Rate Computation</w:t>
      </w:r>
    </w:p>
    <w:p>
      <w:pPr>
        <w:spacing w:after="120"/>
      </w:pPr>
      <w:r>
        <w:rPr>
          <w:rFonts w:ascii="Arial" w:cs="Arial" w:eastAsia="Arial" w:hAnsi="Arial"/>
          <w:color w:val="333333"/>
          <w:sz w:val="22"/>
          <w:szCs w:val="22"/>
        </w:rPr>
        <w:t xml:space="preserve">Penetration rate = (total insurance policies) / (registered users) × 100. This requires a LEFT JOIN between Aggregated_insurance and Aggregated_user grouped by state. NULLIF() prevents division-by-zero errors.</w:t>
      </w:r>
    </w:p>
    <w:p>
      <w:pPr>
        <w:shd w:fill="F8F7FF" w:val="clear"/>
        <w:spacing w:before="60" w:after="80"/>
      </w:pPr>
      <w:r>
        <w:rPr>
          <w:rFonts w:ascii="Courier New" w:cs="Courier New" w:eastAsia="Courier New" w:hAnsi="Courier New"/>
          <w:color w:val="333333"/>
          <w:sz w:val="18"/>
          <w:szCs w:val="18"/>
        </w:rPr>
        <w:t xml:space="preserve">ROUND(100.0*SUM(ai.insurance_count)/NULLIF(au.total_users,0), 4) AS penetration_pct</w:t>
      </w:r>
    </w:p>
    <w:p>
      <w:pPr>
        <w:pStyle w:val="Heading3"/>
        <w:spacing w:before="200" w:after="80"/>
      </w:pPr>
      <w:r>
        <w:rPr>
          <w:rFonts w:ascii="Arial" w:cs="Arial" w:eastAsia="Arial" w:hAnsi="Arial"/>
          <w:b/>
          <w:bCs/>
          <w:color w:val="333333"/>
          <w:sz w:val="24"/>
          <w:szCs w:val="24"/>
        </w:rPr>
        <w:t xml:space="preserve">Step 2 — YoY Growth Trajectory</w:t>
      </w:r>
    </w:p>
    <w:p>
      <w:pPr>
        <w:spacing w:after="120"/>
      </w:pPr>
      <w:r>
        <w:rPr>
          <w:rFonts w:ascii="Arial" w:cs="Arial" w:eastAsia="Arial" w:hAnsi="Arial"/>
          <w:color w:val="333333"/>
          <w:sz w:val="22"/>
          <w:szCs w:val="22"/>
        </w:rPr>
        <w:t xml:space="preserve">Annual policy counts and premiums are aggregated. LAG() computes previous year values. Both policy count growth and premium growth are calculated to reveal whether volume or value is the primary driver.</w:t>
      </w:r>
    </w:p>
    <w:p>
      <w:pPr>
        <w:pStyle w:val="Heading3"/>
        <w:spacing w:before="200" w:after="80"/>
      </w:pPr>
      <w:r>
        <w:rPr>
          <w:rFonts w:ascii="Arial" w:cs="Arial" w:eastAsia="Arial" w:hAnsi="Arial"/>
          <w:b/>
          <w:bCs/>
          <w:color w:val="333333"/>
          <w:sz w:val="24"/>
          <w:szCs w:val="24"/>
        </w:rPr>
        <w:t xml:space="preserve">Step 3 — Opportunity Score</w:t>
      </w:r>
    </w:p>
    <w:p>
      <w:pPr>
        <w:spacing w:after="120"/>
      </w:pPr>
      <w:r>
        <w:rPr>
          <w:rFonts w:ascii="Arial" w:cs="Arial" w:eastAsia="Arial" w:hAnsi="Arial"/>
          <w:color w:val="333333"/>
          <w:sz w:val="22"/>
          <w:szCs w:val="22"/>
        </w:rPr>
        <w:t xml:space="preserve">Opportunity score combines two normalised signals: user base size (large = high potential) minus penetration rate (low = untapped). States with high scores have large user bases and near-zero insurance penetration — the highest ROI targets.</w:t>
      </w:r>
    </w:p>
    <w:p>
      <w:pPr>
        <w:shd w:fill="F8F7FF" w:val="clear"/>
        <w:spacing w:before="60" w:after="80"/>
      </w:pPr>
      <w:r>
        <w:rPr>
          <w:rFonts w:ascii="Courier New" w:cs="Courier New" w:eastAsia="Courier New" w:hAnsi="Courier New"/>
          <w:color w:val="333333"/>
          <w:sz w:val="18"/>
          <w:szCs w:val="18"/>
        </w:rPr>
        <w:t xml:space="preserve">(total_users/MAX(total_users) OVER()) - (penetration_pct/MAX(penetration_pct) OVER()) AS opportunity_score</w:t>
      </w:r>
    </w:p>
    <w:p>
      <w:pPr>
        <w:pStyle w:val="Heading3"/>
        <w:spacing w:before="200" w:after="80"/>
      </w:pPr>
      <w:r>
        <w:rPr>
          <w:rFonts w:ascii="Arial" w:cs="Arial" w:eastAsia="Arial" w:hAnsi="Arial"/>
          <w:b/>
          <w:bCs/>
          <w:color w:val="333333"/>
          <w:sz w:val="24"/>
          <w:szCs w:val="24"/>
        </w:rPr>
        <w:t xml:space="preserve">Step 4 — Priority Tier Classification</w:t>
      </w:r>
    </w:p>
    <w:p>
      <w:pPr>
        <w:spacing w:after="120"/>
      </w:pPr>
      <w:r>
        <w:rPr>
          <w:rFonts w:ascii="Arial" w:cs="Arial" w:eastAsia="Arial" w:hAnsi="Arial"/>
          <w:color w:val="333333"/>
          <w:sz w:val="22"/>
          <w:szCs w:val="22"/>
        </w:rPr>
        <w:t xml:space="preserve">States are classified into four tiers: Critical Priority (score ≥ 0.3), High Priority (0.1–0.3), Medium Priority (0–0.1), and Low Priority (&lt; 0). Marketing budgets and campaign resources are allocated proportionally to tier.</w:t>
      </w:r>
    </w:p>
    <w:p>
      <w:pPr>
        <w:spacing w:after="120"/>
      </w:pPr>
      <w:r>
        <w:t xml:space="preserve"/>
      </w:r>
    </w:p>
    <w:p>
      <w:pPr>
        <w:pStyle w:val="Heading2"/>
        <w:spacing w:before="280" w:after="120"/>
      </w:pPr>
      <w:r>
        <w:rPr>
          <w:rFonts w:ascii="Arial" w:cs="Arial" w:eastAsia="Arial" w:hAnsi="Arial"/>
          <w:b/>
          <w:bCs/>
          <w:color w:val="1E1E2E"/>
          <w:sz w:val="28"/>
          <w:szCs w:val="28"/>
        </w:rPr>
        <w:t xml:space="preserve">Visualizations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Chart</w:t>
            </w:r>
          </w:p>
        </w:tc>
        <w:tc>
          <w:tcPr>
            <w:tcW w:type="dxa" w:w="348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Type &amp; Library</w:t>
            </w:r>
          </w:p>
        </w:tc>
        <w:tc>
          <w:tcPr>
            <w:tcW w:type="dxa" w:w="348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Penetration Bar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px.bar — sorted ascending, RdYlGn scale, avg hline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States ranked from lowest to highest penetration. Red bars = priority targets. National average dashed line provides benchmark.</w:t>
            </w:r>
          </w:p>
        </w:tc>
      </w:tr>
      <w:tr>
        <w:tc>
          <w:tcPr>
            <w:tcW w:type="dxa" w:w="24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Users vs Penetration Scatter</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px.scatter — size=premium, Purples color scale</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Bubble chart: x=registered users, y=penetration%. Large bubbles near bottom-right = highest opportunity states.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Dual-Axis Growth Trend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make_subplots: Bar=policy count, Line=premium (Cr)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Shows volume and value growing in tandem. Acceleration visible in 2023-24 — accelerating curve confirms product-market fit improvement.</w:t>
            </w:r>
          </w:p>
        </w:tc>
      </w:tr>
      <w:tr>
        <w:tc>
          <w:tcPr>
            <w:tcW w:type="dxa" w:w="24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YoY Growth Bar</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px.bar — annual growth %, Greens scale</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Annual policy count YoY growth as percentage bars. Shows 23%+ sustained growth confirming strong momentum.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Opportunity Treemap</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px.treemap — path=[priority, state], size=users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Hierarchical view: outer layer = priority tier, inner = states. Block size = user base. Color intensity = opportunity score. Critical states dominate visually.</w:t>
            </w:r>
          </w:p>
        </w:tc>
      </w:tr>
    </w:tbl>
    <w:p>
      <w:pPr>
        <w:spacing w:after="120"/>
      </w:pPr>
      <w:r>
        <w:t xml:space="preserve"/>
      </w:r>
    </w:p>
    <w:p>
      <w:pPr>
        <w:pStyle w:val="Heading2"/>
        <w:spacing w:before="280" w:after="120"/>
      </w:pPr>
      <w:r>
        <w:rPr>
          <w:rFonts w:ascii="Arial" w:cs="Arial" w:eastAsia="Arial" w:hAnsi="Arial"/>
          <w:b/>
          <w:bCs/>
          <w:color w:val="1E1E2E"/>
          <w:sz w:val="28"/>
          <w:szCs w:val="28"/>
        </w:rPr>
        <w:t xml:space="preserve">Key Insights</w:t>
      </w:r>
    </w:p>
    <w:p>
      <w:pPr>
        <w:pStyle w:val="ListParagraph"/>
        <w:numPr>
          <w:ilvl w:val="0"/>
          <w:numId w:val="2"/>
        </w:numPr>
        <w:spacing w:after="80"/>
      </w:pPr>
      <w:r>
        <w:rPr>
          <w:rFonts w:ascii="Arial" w:cs="Arial" w:eastAsia="Arial" w:hAnsi="Arial"/>
          <w:b/>
          <w:bCs/>
          <w:color w:val="1E1E2E"/>
          <w:sz w:val="22"/>
          <w:szCs w:val="22"/>
        </w:rPr>
        <w:t xml:space="preserve">Penetration Reality: </w:t>
      </w:r>
      <w:r>
        <w:rPr>
          <w:rFonts w:ascii="Arial" w:cs="Arial" w:eastAsia="Arial" w:hAnsi="Arial"/>
          <w:color w:val="333333"/>
          <w:sz w:val="22"/>
          <w:szCs w:val="22"/>
        </w:rPr>
        <w:t xml:space="preserve">Average insurance penetration is below 2% of registered users across all states — a massive untapped market that dwarfs current volumes.</w:t>
      </w:r>
    </w:p>
    <w:p>
      <w:pPr>
        <w:pStyle w:val="ListParagraph"/>
        <w:numPr>
          <w:ilvl w:val="0"/>
          <w:numId w:val="2"/>
        </w:numPr>
        <w:spacing w:after="80"/>
      </w:pPr>
      <w:r>
        <w:rPr>
          <w:rFonts w:ascii="Arial" w:cs="Arial" w:eastAsia="Arial" w:hAnsi="Arial"/>
          <w:b/>
          <w:bCs/>
          <w:color w:val="1E1E2E"/>
          <w:sz w:val="22"/>
          <w:szCs w:val="22"/>
        </w:rPr>
        <w:t xml:space="preserve">Premium Uplift: </w:t>
      </w:r>
      <w:r>
        <w:rPr>
          <w:rFonts w:ascii="Arial" w:cs="Arial" w:eastAsia="Arial" w:hAnsi="Arial"/>
          <w:color w:val="333333"/>
          <w:sz w:val="22"/>
          <w:szCs w:val="22"/>
        </w:rPr>
        <w:t xml:space="preserve">Premium per policy has grown steadily (+8% YoY on average) — users are upgrading to more comprehensive plans, validating product quality.</w:t>
      </w:r>
    </w:p>
    <w:p>
      <w:pPr>
        <w:pStyle w:val="ListParagraph"/>
        <w:numPr>
          <w:ilvl w:val="0"/>
          <w:numId w:val="2"/>
        </w:numPr>
        <w:spacing w:after="80"/>
      </w:pPr>
      <w:r>
        <w:rPr>
          <w:rFonts w:ascii="Arial" w:cs="Arial" w:eastAsia="Arial" w:hAnsi="Arial"/>
          <w:b/>
          <w:bCs/>
          <w:color w:val="1E1E2E"/>
          <w:sz w:val="22"/>
          <w:szCs w:val="22"/>
        </w:rPr>
        <w:t xml:space="preserve">Opportunity Matrix: </w:t>
      </w:r>
      <w:r>
        <w:rPr>
          <w:rFonts w:ascii="Arial" w:cs="Arial" w:eastAsia="Arial" w:hAnsi="Arial"/>
          <w:color w:val="333333"/>
          <w:sz w:val="22"/>
          <w:szCs w:val="22"/>
        </w:rPr>
        <w:t xml:space="preserve">The Opportunity Matrix identifies Critical Priority states where large user density meets near-zero penetration — these should receive dedicated marketing budgets and insurer partnership investments.</w:t>
      </w:r>
    </w:p>
    <w:p>
      <w:pPr>
        <w:pStyle w:val="ListParagraph"/>
        <w:numPr>
          <w:ilvl w:val="0"/>
          <w:numId w:val="2"/>
        </w:numPr>
        <w:spacing w:after="80"/>
      </w:pPr>
      <w:r>
        <w:rPr>
          <w:rFonts w:ascii="Arial" w:cs="Arial" w:eastAsia="Arial" w:hAnsi="Arial"/>
          <w:b/>
          <w:bCs/>
          <w:color w:val="1E1E2E"/>
          <w:sz w:val="22"/>
          <w:szCs w:val="22"/>
        </w:rPr>
        <w:t xml:space="preserve">Growth Signal: </w:t>
      </w:r>
      <w:r>
        <w:rPr>
          <w:rFonts w:ascii="Arial" w:cs="Arial" w:eastAsia="Arial" w:hAnsi="Arial"/>
          <w:color w:val="333333"/>
          <w:sz w:val="22"/>
          <w:szCs w:val="22"/>
        </w:rPr>
        <w:t xml:space="preserve">Insurance growth rate (+23% YoY) significantly outpaces transaction growth (+14% YoY) — insurance is PhonePe's fastest-growing revenue segment.</w:t>
      </w:r>
    </w:p>
    <w:p>
      <w:pPr>
        <w:spacing w:after="120"/>
      </w:pPr>
      <w:r>
        <w:t xml:space="preserve"/>
      </w:r>
    </w:p>
    <w:p>
      <w:pPr>
        <w:pStyle w:val="Heading1"/>
        <w:spacing w:before="400" w:after="160"/>
      </w:pPr>
      <w:r>
        <w:rPr>
          <w:rFonts w:ascii="Arial" w:cs="Arial" w:eastAsia="Arial" w:hAnsi="Arial"/>
          <w:b/>
          <w:bCs/>
          <w:color w:val="005E46"/>
          <w:sz w:val="36"/>
          <w:szCs w:val="36"/>
        </w:rPr>
        <w:t xml:space="preserve">BC7: Transaction Analysis Across States &amp; Districts</w:t>
      </w:r>
    </w:p>
    <w:p>
      <w:pPr>
        <w:pBdr>
          <w:bottom w:val="single" w:color="5F2EEA" w:sz="2"/>
        </w:pBdr>
        <w:spacing w:after="200"/>
      </w:pPr>
      <w:r>
        <w:t xml:space="preserve"/>
      </w:r>
    </w:p>
    <w:p>
      <w:pPr>
        <w:pStyle w:val="Heading2"/>
        <w:spacing w:before="280" w:after="120"/>
      </w:pPr>
      <w:r>
        <w:rPr>
          <w:rFonts w:ascii="Arial" w:cs="Arial" w:eastAsia="Arial" w:hAnsi="Arial"/>
          <w:b/>
          <w:bCs/>
          <w:color w:val="1E1E2E"/>
          <w:sz w:val="28"/>
          <w:szCs w:val="28"/>
        </w:rPr>
        <w:t xml:space="preserv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AF5" w:val="clear"/>
            <w:tcMar>
              <w:top w:type="dxa" w:w="100"/>
              <w:left w:type="dxa" w:w="140"/>
              <w:bottom w:type="dxa" w:w="100"/>
              <w:right w:type="dxa" w:w="140"/>
            </w:tcMar>
          </w:tcPr>
          <w:p>
            <w:r>
              <w:rPr>
                <w:rFonts w:ascii="Arial" w:cs="Arial" w:eastAsia="Arial" w:hAnsi="Arial"/>
                <w:color w:val="333333"/>
                <w:sz w:val="22"/>
                <w:szCs w:val="22"/>
              </w:rPr>
              <w:t xml:space="preserve">PhonePe is conducting analysis of transaction data to identify the top-performing states, districts, and pin codes by transaction volume and value. This analysis helps understand user engagement patterns and identifies key areas for targeted marketing efforts.</w:t>
            </w:r>
          </w:p>
        </w:tc>
      </w:tr>
    </w:tbl>
    <w:p>
      <w:pPr>
        <w:spacing w:after="120"/>
      </w:pPr>
      <w:r>
        <w:t xml:space="preserve"/>
      </w:r>
    </w:p>
    <w:p>
      <w:pPr>
        <w:pStyle w:val="Heading2"/>
        <w:spacing w:before="280" w:after="120"/>
      </w:pPr>
      <w:r>
        <w:rPr>
          <w:rFonts w:ascii="Arial" w:cs="Arial" w:eastAsia="Arial" w:hAnsi="Arial"/>
          <w:b/>
          <w:bCs/>
          <w:color w:val="1E1E2E"/>
          <w:sz w:val="28"/>
          <w:szCs w:val="28"/>
        </w:rPr>
        <w:t xml:space="preserve">Analysis Process</w:t>
      </w:r>
    </w:p>
    <w:p>
      <w:pPr>
        <w:pStyle w:val="Heading3"/>
        <w:spacing w:before="200" w:after="80"/>
      </w:pPr>
      <w:r>
        <w:rPr>
          <w:rFonts w:ascii="Arial" w:cs="Arial" w:eastAsia="Arial" w:hAnsi="Arial"/>
          <w:b/>
          <w:bCs/>
          <w:color w:val="333333"/>
          <w:sz w:val="24"/>
          <w:szCs w:val="24"/>
        </w:rPr>
        <w:t xml:space="preserve">Step 1 — State Rankings</w:t>
      </w:r>
    </w:p>
    <w:p>
      <w:pPr>
        <w:spacing w:after="120"/>
      </w:pPr>
      <w:r>
        <w:rPr>
          <w:rFonts w:ascii="Arial" w:cs="Arial" w:eastAsia="Arial" w:hAnsi="Arial"/>
          <w:color w:val="333333"/>
          <w:sz w:val="22"/>
          <w:szCs w:val="22"/>
        </w:rPr>
        <w:t xml:space="preserve">Top states are ranked by total transaction amount and count from the Top_transaction table. Average transaction value is also computed to distinguish high-volume low-value from high-value low-volume states.</w:t>
      </w:r>
    </w:p>
    <w:p>
      <w:pPr>
        <w:shd w:fill="F8F7FF" w:val="clear"/>
        <w:spacing w:before="60" w:after="80"/>
      </w:pPr>
      <w:r>
        <w:rPr>
          <w:rFonts w:ascii="Courier New" w:cs="Courier New" w:eastAsia="Courier New" w:hAnsi="Courier New"/>
          <w:color w:val="333333"/>
          <w:sz w:val="18"/>
          <w:szCs w:val="18"/>
        </w:rPr>
        <w:t xml:space="preserve">SELECT state, SUM(transaction_amount) AS total_amount FROM Top_transaction GROUP BY state ORDER BY total_amount DESC LIMIT 10;</w:t>
      </w:r>
    </w:p>
    <w:p>
      <w:pPr>
        <w:pStyle w:val="Heading3"/>
        <w:spacing w:before="200" w:after="80"/>
      </w:pPr>
      <w:r>
        <w:rPr>
          <w:rFonts w:ascii="Arial" w:cs="Arial" w:eastAsia="Arial" w:hAnsi="Arial"/>
          <w:b/>
          <w:bCs/>
          <w:color w:val="333333"/>
          <w:sz w:val="24"/>
          <w:szCs w:val="24"/>
        </w:rPr>
        <w:t xml:space="preserve">Step 2 — District Drill-down</w:t>
      </w:r>
    </w:p>
    <w:p>
      <w:pPr>
        <w:spacing w:after="120"/>
      </w:pPr>
      <w:r>
        <w:rPr>
          <w:rFonts w:ascii="Arial" w:cs="Arial" w:eastAsia="Arial" w:hAnsi="Arial"/>
          <w:color w:val="333333"/>
          <w:sz w:val="22"/>
          <w:szCs w:val="22"/>
        </w:rPr>
        <w:t xml:space="preserve">For any selected state, district-level performance is extracted from Map_transaction. A scatter chart exposing the volume vs value trade-off per district guides infrastructure investment priorities.</w:t>
      </w:r>
    </w:p>
    <w:p>
      <w:pPr>
        <w:pStyle w:val="Heading3"/>
        <w:spacing w:before="200" w:after="80"/>
      </w:pPr>
      <w:r>
        <w:rPr>
          <w:rFonts w:ascii="Arial" w:cs="Arial" w:eastAsia="Arial" w:hAnsi="Arial"/>
          <w:b/>
          <w:bCs/>
          <w:color w:val="333333"/>
          <w:sz w:val="24"/>
          <w:szCs w:val="24"/>
        </w:rPr>
        <w:t xml:space="preserve">Step 3 — Pin Code Rankings</w:t>
      </w:r>
    </w:p>
    <w:p>
      <w:pPr>
        <w:spacing w:after="120"/>
      </w:pPr>
      <w:r>
        <w:rPr>
          <w:rFonts w:ascii="Arial" w:cs="Arial" w:eastAsia="Arial" w:hAnsi="Arial"/>
          <w:color w:val="333333"/>
          <w:sz w:val="22"/>
          <w:szCs w:val="22"/>
        </w:rPr>
        <w:t xml:space="preserve">Top pin codes by transaction value are extracted from Top_transaction where pincode IS NOT NULL. This hyper-local data enables precision marketing campaigns targeted at the most active postal zones.</w:t>
      </w:r>
    </w:p>
    <w:p>
      <w:pPr>
        <w:pStyle w:val="Heading3"/>
        <w:spacing w:before="200" w:after="80"/>
      </w:pPr>
      <w:r>
        <w:rPr>
          <w:rFonts w:ascii="Arial" w:cs="Arial" w:eastAsia="Arial" w:hAnsi="Arial"/>
          <w:b/>
          <w:bCs/>
          <w:color w:val="333333"/>
          <w:sz w:val="24"/>
          <w:szCs w:val="24"/>
        </w:rPr>
        <w:t xml:space="preserve">Step 4 — HHI Concentration Index</w:t>
      </w:r>
    </w:p>
    <w:p>
      <w:pPr>
        <w:spacing w:after="120"/>
      </w:pPr>
      <w:r>
        <w:rPr>
          <w:rFonts w:ascii="Arial" w:cs="Arial" w:eastAsia="Arial" w:hAnsi="Arial"/>
          <w:color w:val="333333"/>
          <w:sz w:val="22"/>
          <w:szCs w:val="22"/>
        </w:rPr>
        <w:t xml:space="preserve">The Herfindahl-Hirschman Index (HHI) measures whether a state's transaction value is concentrated in one or two districts (HHI &gt; 0.25) or well-distributed across many. Highly concentrated states have untapped tier-2 city potential.</w:t>
      </w:r>
    </w:p>
    <w:p>
      <w:pPr>
        <w:shd w:fill="F8F7FF" w:val="clear"/>
        <w:spacing w:before="60" w:after="80"/>
      </w:pPr>
      <w:r>
        <w:rPr>
          <w:rFonts w:ascii="Courier New" w:cs="Courier New" w:eastAsia="Courier New" w:hAnsi="Courier New"/>
          <w:color w:val="333333"/>
          <w:sz w:val="18"/>
          <w:szCs w:val="18"/>
        </w:rPr>
        <w:t xml:space="preserve">ROUND(SUM(share*share), 4) AS hhi_index  -- share = district_amount / state_amount</w:t>
      </w:r>
    </w:p>
    <w:p>
      <w:pPr>
        <w:spacing w:after="120"/>
      </w:pPr>
      <w:r>
        <w:t xml:space="preserve"/>
      </w:r>
    </w:p>
    <w:p>
      <w:pPr>
        <w:pStyle w:val="Heading2"/>
        <w:spacing w:before="280" w:after="120"/>
      </w:pPr>
      <w:r>
        <w:rPr>
          <w:rFonts w:ascii="Arial" w:cs="Arial" w:eastAsia="Arial" w:hAnsi="Arial"/>
          <w:b/>
          <w:bCs/>
          <w:color w:val="1E1E2E"/>
          <w:sz w:val="28"/>
          <w:szCs w:val="28"/>
        </w:rPr>
        <w:t xml:space="preserve">Visualizations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Chart</w:t>
            </w:r>
          </w:p>
        </w:tc>
        <w:tc>
          <w:tcPr>
            <w:tcW w:type="dxa" w:w="348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Type &amp; Library</w:t>
            </w:r>
          </w:p>
        </w:tc>
        <w:tc>
          <w:tcPr>
            <w:tcW w:type="dxa" w:w="348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State Ranking Bar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px.bar — horizontal, Purples scale, text labels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Top-N states (user-adjustable slider) ranked by transaction value. Paired with pie chart for share view.</w:t>
            </w:r>
          </w:p>
        </w:tc>
      </w:tr>
      <w:tr>
        <w:tc>
          <w:tcPr>
            <w:tcW w:type="dxa" w:w="24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District Bar + Scatter</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px.bar (horizontal) + px.scatter (bubble)</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District performance within selected state. Scatter reveals volume-value trade-off — large bubbles near bottom-right = tier-2 underperformers.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Quarterly Trend Lines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px.line — multi-state, markers, DM Sans font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State-level transaction trends over all quarters. Seasonal patterns and diverging growth rates become visible.</w:t>
            </w:r>
          </w:p>
        </w:tc>
      </w:tr>
      <w:tr>
        <w:tc>
          <w:tcPr>
            <w:tcW w:type="dxa" w:w="24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State × Quarter Heatmap</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px.imshow — state × period pivot, Purples</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Color grid revealing Q4 spikes and identifying which states miss the holiday surge — targets for pre-season campaigns.</w:t>
            </w:r>
          </w:p>
        </w:tc>
      </w:tr>
    </w:tbl>
    <w:p>
      <w:pPr>
        <w:spacing w:after="120"/>
      </w:pPr>
      <w:r>
        <w:t xml:space="preserve"/>
      </w:r>
    </w:p>
    <w:p>
      <w:pPr>
        <w:pStyle w:val="Heading2"/>
        <w:spacing w:before="280" w:after="120"/>
      </w:pPr>
      <w:r>
        <w:rPr>
          <w:rFonts w:ascii="Arial" w:cs="Arial" w:eastAsia="Arial" w:hAnsi="Arial"/>
          <w:b/>
          <w:bCs/>
          <w:color w:val="1E1E2E"/>
          <w:sz w:val="28"/>
          <w:szCs w:val="28"/>
        </w:rPr>
        <w:t xml:space="preserve">Key Insights</w:t>
      </w:r>
    </w:p>
    <w:p>
      <w:pPr>
        <w:pStyle w:val="ListParagraph"/>
        <w:numPr>
          <w:ilvl w:val="0"/>
          <w:numId w:val="2"/>
        </w:numPr>
        <w:spacing w:after="80"/>
      </w:pPr>
      <w:r>
        <w:rPr>
          <w:rFonts w:ascii="Arial" w:cs="Arial" w:eastAsia="Arial" w:hAnsi="Arial"/>
          <w:b/>
          <w:bCs/>
          <w:color w:val="1E1E2E"/>
          <w:sz w:val="22"/>
          <w:szCs w:val="22"/>
        </w:rPr>
        <w:t xml:space="preserve">District Leader: </w:t>
      </w:r>
      <w:r>
        <w:rPr>
          <w:rFonts w:ascii="Arial" w:cs="Arial" w:eastAsia="Arial" w:hAnsi="Arial"/>
          <w:color w:val="333333"/>
          <w:sz w:val="22"/>
          <w:szCs w:val="22"/>
        </w:rPr>
        <w:t xml:space="preserve">Mumbai is the single highest-value district nationally — targeted merchant acquisition and premium infrastructure investment here yields maximum ROI.</w:t>
      </w:r>
    </w:p>
    <w:p>
      <w:pPr>
        <w:pStyle w:val="ListParagraph"/>
        <w:numPr>
          <w:ilvl w:val="0"/>
          <w:numId w:val="2"/>
        </w:numPr>
        <w:spacing w:after="80"/>
      </w:pPr>
      <w:r>
        <w:rPr>
          <w:rFonts w:ascii="Arial" w:cs="Arial" w:eastAsia="Arial" w:hAnsi="Arial"/>
          <w:b/>
          <w:bCs/>
          <w:color w:val="1E1E2E"/>
          <w:sz w:val="22"/>
          <w:szCs w:val="22"/>
        </w:rPr>
        <w:t xml:space="preserve">Concentration: </w:t>
      </w:r>
      <w:r>
        <w:rPr>
          <w:rFonts w:ascii="Arial" w:cs="Arial" w:eastAsia="Arial" w:hAnsi="Arial"/>
          <w:color w:val="333333"/>
          <w:sz w:val="22"/>
          <w:szCs w:val="22"/>
        </w:rPr>
        <w:t xml:space="preserve">Top 3 states (Maharashtra, Karnataka, Tamil Nadu) account for over 40% of national transaction value — geographic concentration confirmed.</w:t>
      </w:r>
    </w:p>
    <w:p>
      <w:pPr>
        <w:pStyle w:val="ListParagraph"/>
        <w:numPr>
          <w:ilvl w:val="0"/>
          <w:numId w:val="2"/>
        </w:numPr>
        <w:spacing w:after="80"/>
      </w:pPr>
      <w:r>
        <w:rPr>
          <w:rFonts w:ascii="Arial" w:cs="Arial" w:eastAsia="Arial" w:hAnsi="Arial"/>
          <w:b/>
          <w:bCs/>
          <w:color w:val="1E1E2E"/>
          <w:sz w:val="22"/>
          <w:szCs w:val="22"/>
        </w:rPr>
        <w:t xml:space="preserve">HHI Signal: </w:t>
      </w:r>
      <w:r>
        <w:rPr>
          <w:rFonts w:ascii="Arial" w:cs="Arial" w:eastAsia="Arial" w:hAnsi="Arial"/>
          <w:color w:val="333333"/>
          <w:sz w:val="22"/>
          <w:szCs w:val="22"/>
        </w:rPr>
        <w:t xml:space="preserve">HHI analysis reveals several states where 70%+ of value is in a single district — tier-2 city development is a direct lever for 20-30% state-level growth.</w:t>
      </w:r>
    </w:p>
    <w:p>
      <w:pPr>
        <w:pStyle w:val="ListParagraph"/>
        <w:numPr>
          <w:ilvl w:val="0"/>
          <w:numId w:val="2"/>
        </w:numPr>
        <w:spacing w:after="80"/>
      </w:pPr>
      <w:r>
        <w:rPr>
          <w:rFonts w:ascii="Arial" w:cs="Arial" w:eastAsia="Arial" w:hAnsi="Arial"/>
          <w:b/>
          <w:bCs/>
          <w:color w:val="1E1E2E"/>
          <w:sz w:val="22"/>
          <w:szCs w:val="22"/>
        </w:rPr>
        <w:t xml:space="preserve">Seasonality: </w:t>
      </w:r>
      <w:r>
        <w:rPr>
          <w:rFonts w:ascii="Arial" w:cs="Arial" w:eastAsia="Arial" w:hAnsi="Arial"/>
          <w:color w:val="333333"/>
          <w:sz w:val="22"/>
          <w:szCs w:val="22"/>
        </w:rPr>
        <w:t xml:space="preserve">Q4 seasonal spike is visible across all states in the heatmap — Q3 campaign launches are needed to capture this peak effectively.</w:t>
      </w:r>
    </w:p>
    <w:p>
      <w:pPr>
        <w:spacing w:after="120"/>
      </w:pPr>
      <w:r>
        <w:t xml:space="preserve"/>
      </w:r>
    </w:p>
    <w:p>
      <w:pPr>
        <w:pStyle w:val="Heading1"/>
        <w:spacing w:before="400" w:after="160"/>
      </w:pPr>
      <w:r>
        <w:rPr>
          <w:rFonts w:ascii="Arial" w:cs="Arial" w:eastAsia="Arial" w:hAnsi="Arial"/>
          <w:b/>
          <w:bCs/>
          <w:color w:val="6D28D9"/>
          <w:sz w:val="36"/>
          <w:szCs w:val="36"/>
        </w:rPr>
        <w:t xml:space="preserve">BC8: User Registration Analysis</w:t>
      </w:r>
    </w:p>
    <w:p>
      <w:pPr>
        <w:pBdr>
          <w:bottom w:val="single" w:color="5F2EEA" w:sz="2"/>
        </w:pBdr>
        <w:spacing w:after="200"/>
      </w:pPr>
      <w:r>
        <w:t xml:space="preserve"/>
      </w:r>
    </w:p>
    <w:p>
      <w:pPr>
        <w:pStyle w:val="Heading2"/>
        <w:spacing w:before="280" w:after="120"/>
      </w:pPr>
      <w:r>
        <w:rPr>
          <w:rFonts w:ascii="Arial" w:cs="Arial" w:eastAsia="Arial" w:hAnsi="Arial"/>
          <w:b/>
          <w:bCs/>
          <w:color w:val="1E1E2E"/>
          <w:sz w:val="28"/>
          <w:szCs w:val="28"/>
        </w:rPr>
        <w:t xml:space="preserv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8FF" w:val="clear"/>
            <w:tcMar>
              <w:top w:type="dxa" w:w="100"/>
              <w:left w:type="dxa" w:w="140"/>
              <w:bottom w:type="dxa" w:w="100"/>
              <w:right w:type="dxa" w:w="140"/>
            </w:tcMar>
          </w:tcPr>
          <w:p>
            <w:r>
              <w:rPr>
                <w:rFonts w:ascii="Arial" w:cs="Arial" w:eastAsia="Arial" w:hAnsi="Arial"/>
                <w:color w:val="333333"/>
                <w:sz w:val="22"/>
                <w:szCs w:val="22"/>
              </w:rPr>
              <w:t xml:space="preserve">PhonePe aims to analyze user registration data to identify top states, districts, and pin codes by new user registrations for a specific year-quarter combination. This provides insights into engagement patterns and highlights potential growth areas.</w:t>
            </w:r>
          </w:p>
        </w:tc>
      </w:tr>
    </w:tbl>
    <w:p>
      <w:pPr>
        <w:spacing w:after="120"/>
      </w:pPr>
      <w:r>
        <w:t xml:space="preserve"/>
      </w:r>
    </w:p>
    <w:p>
      <w:pPr>
        <w:pStyle w:val="Heading2"/>
        <w:spacing w:before="280" w:after="120"/>
      </w:pPr>
      <w:r>
        <w:rPr>
          <w:rFonts w:ascii="Arial" w:cs="Arial" w:eastAsia="Arial" w:hAnsi="Arial"/>
          <w:b/>
          <w:bCs/>
          <w:color w:val="1E1E2E"/>
          <w:sz w:val="28"/>
          <w:szCs w:val="28"/>
        </w:rPr>
        <w:t xml:space="preserve">Analysis Process</w:t>
      </w:r>
    </w:p>
    <w:p>
      <w:pPr>
        <w:pStyle w:val="Heading3"/>
        <w:spacing w:before="200" w:after="80"/>
      </w:pPr>
      <w:r>
        <w:rPr>
          <w:rFonts w:ascii="Arial" w:cs="Arial" w:eastAsia="Arial" w:hAnsi="Arial"/>
          <w:b/>
          <w:bCs/>
          <w:color w:val="333333"/>
          <w:sz w:val="24"/>
          <w:szCs w:val="24"/>
        </w:rPr>
        <w:t xml:space="preserve">Step 1 — Top States per Quarter</w:t>
      </w:r>
    </w:p>
    <w:p>
      <w:pPr>
        <w:spacing w:after="120"/>
      </w:pPr>
      <w:r>
        <w:rPr>
          <w:rFonts w:ascii="Arial" w:cs="Arial" w:eastAsia="Arial" w:hAnsi="Arial"/>
          <w:color w:val="333333"/>
          <w:sz w:val="22"/>
          <w:szCs w:val="22"/>
        </w:rPr>
        <w:t xml:space="preserve">Registrations are summed per state for the selected year and quarter from the Top_user table. Year and quarter selectors in the Streamlit sidebar make this fully dynamic, enabling analysis of any specific period.</w:t>
      </w:r>
    </w:p>
    <w:p>
      <w:pPr>
        <w:shd w:fill="F8F7FF" w:val="clear"/>
        <w:spacing w:before="60" w:after="80"/>
      </w:pPr>
      <w:r>
        <w:rPr>
          <w:rFonts w:ascii="Courier New" w:cs="Courier New" w:eastAsia="Courier New" w:hAnsi="Courier New"/>
          <w:color w:val="333333"/>
          <w:sz w:val="18"/>
          <w:szCs w:val="18"/>
        </w:rPr>
        <w:t xml:space="preserve">SELECT state, SUM(registered_users) FROM Top_user WHERE year=&lt;Y&gt; AND quarter=&lt;Q&gt; GROUP BY state ORDER BY SUM(registered_users) DESC LIMIT 10;</w:t>
      </w:r>
    </w:p>
    <w:p>
      <w:pPr>
        <w:pStyle w:val="Heading3"/>
        <w:spacing w:before="200" w:after="80"/>
      </w:pPr>
      <w:r>
        <w:rPr>
          <w:rFonts w:ascii="Arial" w:cs="Arial" w:eastAsia="Arial" w:hAnsi="Arial"/>
          <w:b/>
          <w:bCs/>
          <w:color w:val="333333"/>
          <w:sz w:val="24"/>
          <w:szCs w:val="24"/>
        </w:rPr>
        <w:t xml:space="preserve">Step 2 — District Rankings</w:t>
      </w:r>
    </w:p>
    <w:p>
      <w:pPr>
        <w:spacing w:after="120"/>
      </w:pPr>
      <w:r>
        <w:rPr>
          <w:rFonts w:ascii="Arial" w:cs="Arial" w:eastAsia="Arial" w:hAnsi="Arial"/>
          <w:color w:val="333333"/>
          <w:sz w:val="22"/>
          <w:szCs w:val="22"/>
        </w:rPr>
        <w:t xml:space="preserve">The same year-quarter filter is applied at the district level (GROUP BY state, district) to identify which districts within each state are driving the most new registrations.</w:t>
      </w:r>
    </w:p>
    <w:p>
      <w:pPr>
        <w:pStyle w:val="Heading3"/>
        <w:spacing w:before="200" w:after="80"/>
      </w:pPr>
      <w:r>
        <w:rPr>
          <w:rFonts w:ascii="Arial" w:cs="Arial" w:eastAsia="Arial" w:hAnsi="Arial"/>
          <w:b/>
          <w:bCs/>
          <w:color w:val="333333"/>
          <w:sz w:val="24"/>
          <w:szCs w:val="24"/>
        </w:rPr>
        <w:t xml:space="preserve">Step 3 — Pin Code Rankings</w:t>
      </w:r>
    </w:p>
    <w:p>
      <w:pPr>
        <w:spacing w:after="120"/>
      </w:pPr>
      <w:r>
        <w:rPr>
          <w:rFonts w:ascii="Arial" w:cs="Arial" w:eastAsia="Arial" w:hAnsi="Arial"/>
          <w:color w:val="333333"/>
          <w:sz w:val="22"/>
          <w:szCs w:val="22"/>
        </w:rPr>
        <w:t xml:space="preserve">Pin code level analysis (GROUP BY state, pincode) provides hyper-local acquisition targeting data. Top-10 pin codes by registrations are surfaced with state attribution for campaign precision.</w:t>
      </w:r>
    </w:p>
    <w:p>
      <w:pPr>
        <w:pStyle w:val="Heading3"/>
        <w:spacing w:before="200" w:after="80"/>
      </w:pPr>
      <w:r>
        <w:rPr>
          <w:rFonts w:ascii="Arial" w:cs="Arial" w:eastAsia="Arial" w:hAnsi="Arial"/>
          <w:b/>
          <w:bCs/>
          <w:color w:val="333333"/>
          <w:sz w:val="24"/>
          <w:szCs w:val="24"/>
        </w:rPr>
        <w:t xml:space="preserve">Step 4 — Growth Hotspot Detection</w:t>
      </w:r>
    </w:p>
    <w:p>
      <w:pPr>
        <w:spacing w:after="120"/>
      </w:pPr>
      <w:r>
        <w:rPr>
          <w:rFonts w:ascii="Arial" w:cs="Arial" w:eastAsia="Arial" w:hAnsi="Arial"/>
          <w:color w:val="333333"/>
          <w:sz w:val="22"/>
          <w:szCs w:val="22"/>
        </w:rPr>
        <w:t xml:space="preserve">FIRST_VALUE and LAST_VALUE window functions compute the registration count at the start and end of the last 4 quarters. States where growth_over_period_pct is highest are classified as growth hotspots — early signals for markets that will cross into top-tier within 2 quarters.</w:t>
      </w:r>
    </w:p>
    <w:p>
      <w:pPr>
        <w:shd w:fill="F8F7FF" w:val="clear"/>
        <w:spacing w:before="60" w:after="80"/>
      </w:pPr>
      <w:r>
        <w:rPr>
          <w:rFonts w:ascii="Courier New" w:cs="Courier New" w:eastAsia="Courier New" w:hAnsi="Courier New"/>
          <w:color w:val="333333"/>
          <w:sz w:val="18"/>
          <w:szCs w:val="18"/>
        </w:rPr>
        <w:t xml:space="preserve">(LAST_VALUE(regs) OVER (...) - FIRST_VALUE(regs) OVER (...)) / FIRST_VALUE(regs) OVER (...) * 100 AS growth_pct</w:t>
      </w:r>
    </w:p>
    <w:p>
      <w:pPr>
        <w:spacing w:after="120"/>
      </w:pPr>
      <w:r>
        <w:t xml:space="preserve"/>
      </w:r>
    </w:p>
    <w:p>
      <w:pPr>
        <w:pStyle w:val="Heading2"/>
        <w:spacing w:before="280" w:after="120"/>
      </w:pPr>
      <w:r>
        <w:rPr>
          <w:rFonts w:ascii="Arial" w:cs="Arial" w:eastAsia="Arial" w:hAnsi="Arial"/>
          <w:b/>
          <w:bCs/>
          <w:color w:val="1E1E2E"/>
          <w:sz w:val="28"/>
          <w:szCs w:val="28"/>
        </w:rPr>
        <w:t xml:space="preserve">Visualizations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Chart</w:t>
            </w:r>
          </w:p>
        </w:tc>
        <w:tc>
          <w:tcPr>
            <w:tcW w:type="dxa" w:w="348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Type &amp; Library</w:t>
            </w:r>
          </w:p>
        </w:tc>
        <w:tc>
          <w:tcPr>
            <w:tcW w:type="dxa" w:w="348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State Registration Bar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px.bar — horizontal, Purples scale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Top-10 states by registrations for selected quarter. Sidebar year/quarter selectors make this fully dynamic.</w:t>
            </w:r>
          </w:p>
        </w:tc>
      </w:tr>
      <w:tr>
        <w:tc>
          <w:tcPr>
            <w:tcW w:type="dxa" w:w="24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State Funnel Chart</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px.funnel — sorted descending</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Registration funnel showing how the acquisition pipeline narrows from top state downward. Visually communicates concentration.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District &amp; Pin-code Tables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st.dataframe — Purples background_gradient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Styled DataFrames with color intensity proportional to registration count. Pin-code table enables hyper-local campaign targeting.</w:t>
            </w:r>
          </w:p>
        </w:tc>
      </w:tr>
      <w:tr>
        <w:tc>
          <w:tcPr>
            <w:tcW w:type="dxa" w:w="24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QoQ Growth Bar</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px.bar — horizontal, RdYlGn scale</w:t>
            </w:r>
          </w:p>
        </w:tc>
        <w:tc>
          <w:tcPr>
            <w:tcW w:type="dxa" w:w="348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States ranked by average QoQ registration growth for selected year. Instantly reveals where acquisition momentum is highest.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Growth Hotspot Heatmap</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px.imshow — state × quarter, RdYlGn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QoQ growth % grid. Bright green clusters = growth hotspot zones. Enables early identification of emerging top-tier markets.</w:t>
            </w:r>
          </w:p>
        </w:tc>
      </w:tr>
    </w:tbl>
    <w:p>
      <w:pPr>
        <w:spacing w:after="120"/>
      </w:pPr>
      <w:r>
        <w:t xml:space="preserve"/>
      </w:r>
    </w:p>
    <w:p>
      <w:pPr>
        <w:pStyle w:val="Heading2"/>
        <w:spacing w:before="280" w:after="120"/>
      </w:pPr>
      <w:r>
        <w:rPr>
          <w:rFonts w:ascii="Arial" w:cs="Arial" w:eastAsia="Arial" w:hAnsi="Arial"/>
          <w:b/>
          <w:bCs/>
          <w:color w:val="1E1E2E"/>
          <w:sz w:val="28"/>
          <w:szCs w:val="28"/>
        </w:rPr>
        <w:t xml:space="preserve">Key Insights</w:t>
      </w:r>
    </w:p>
    <w:p>
      <w:pPr>
        <w:pStyle w:val="ListParagraph"/>
        <w:numPr>
          <w:ilvl w:val="0"/>
          <w:numId w:val="2"/>
        </w:numPr>
        <w:spacing w:after="80"/>
      </w:pPr>
      <w:r>
        <w:rPr>
          <w:rFonts w:ascii="Arial" w:cs="Arial" w:eastAsia="Arial" w:hAnsi="Arial"/>
          <w:b/>
          <w:bCs/>
          <w:color w:val="1E1E2E"/>
          <w:sz w:val="22"/>
          <w:szCs w:val="22"/>
        </w:rPr>
        <w:t xml:space="preserve">Hyper-local: </w:t>
      </w:r>
      <w:r>
        <w:rPr>
          <w:rFonts w:ascii="Arial" w:cs="Arial" w:eastAsia="Arial" w:hAnsi="Arial"/>
          <w:color w:val="333333"/>
          <w:sz w:val="22"/>
          <w:szCs w:val="22"/>
        </w:rPr>
        <w:t xml:space="preserve">Pin-code level data reveals hyper-local growth clusters that are invisible at the state level — these micro-markets deserve dedicated acquisition strategies and referral program activations.</w:t>
      </w:r>
    </w:p>
    <w:p>
      <w:pPr>
        <w:pStyle w:val="ListParagraph"/>
        <w:numPr>
          <w:ilvl w:val="0"/>
          <w:numId w:val="2"/>
        </w:numPr>
        <w:spacing w:after="80"/>
      </w:pPr>
      <w:r>
        <w:rPr>
          <w:rFonts w:ascii="Arial" w:cs="Arial" w:eastAsia="Arial" w:hAnsi="Arial"/>
          <w:b/>
          <w:bCs/>
          <w:color w:val="1E1E2E"/>
          <w:sz w:val="22"/>
          <w:szCs w:val="22"/>
        </w:rPr>
        <w:t xml:space="preserve">Hotspot Detection: </w:t>
      </w:r>
      <w:r>
        <w:rPr>
          <w:rFonts w:ascii="Arial" w:cs="Arial" w:eastAsia="Arial" w:hAnsi="Arial"/>
          <w:color w:val="333333"/>
          <w:sz w:val="22"/>
          <w:szCs w:val="22"/>
        </w:rPr>
        <w:t xml:space="preserve">Growth Hotspot analysis surfaces states with accelerating registration velocity — an early signal for markets that will cross into the top tier within 2 quarters, enabling proactive investment.</w:t>
      </w:r>
    </w:p>
    <w:p>
      <w:pPr>
        <w:pStyle w:val="ListParagraph"/>
        <w:numPr>
          <w:ilvl w:val="0"/>
          <w:numId w:val="2"/>
        </w:numPr>
        <w:spacing w:after="80"/>
      </w:pPr>
      <w:r>
        <w:rPr>
          <w:rFonts w:ascii="Arial" w:cs="Arial" w:eastAsia="Arial" w:hAnsi="Arial"/>
          <w:b/>
          <w:bCs/>
          <w:color w:val="1E1E2E"/>
          <w:sz w:val="22"/>
          <w:szCs w:val="22"/>
        </w:rPr>
        <w:t xml:space="preserve">Seasonality: </w:t>
      </w:r>
      <w:r>
        <w:rPr>
          <w:rFonts w:ascii="Arial" w:cs="Arial" w:eastAsia="Arial" w:hAnsi="Arial"/>
          <w:color w:val="333333"/>
          <w:sz w:val="22"/>
          <w:szCs w:val="22"/>
        </w:rPr>
        <w:t xml:space="preserve">Q1 and Q3 consistently show the highest registration QoQ growth — these are the optimal windows for acquisition campaign launches and referral program activations.</w:t>
      </w:r>
    </w:p>
    <w:p>
      <w:pPr>
        <w:pStyle w:val="ListParagraph"/>
        <w:numPr>
          <w:ilvl w:val="0"/>
          <w:numId w:val="2"/>
        </w:numPr>
        <w:spacing w:after="80"/>
      </w:pPr>
      <w:r>
        <w:rPr>
          <w:rFonts w:ascii="Arial" w:cs="Arial" w:eastAsia="Arial" w:hAnsi="Arial"/>
          <w:b/>
          <w:bCs/>
          <w:color w:val="1E1E2E"/>
          <w:sz w:val="22"/>
          <w:szCs w:val="22"/>
        </w:rPr>
        <w:t xml:space="preserve">Decline Signal: </w:t>
      </w:r>
      <w:r>
        <w:rPr>
          <w:rFonts w:ascii="Arial" w:cs="Arial" w:eastAsia="Arial" w:hAnsi="Arial"/>
          <w:color w:val="333333"/>
          <w:sz w:val="22"/>
          <w:szCs w:val="22"/>
        </w:rPr>
        <w:t xml:space="preserve">States showing declining registration QoQ are flagged as early churn signals — these require investigation into market saturation, competitive pressure, or product fit issues.</w:t>
      </w:r>
    </w:p>
    <w:p>
      <w:pPr>
        <w:spacing w:after="120"/>
      </w:pPr>
      <w:r>
        <w:t xml:space="preserve"/>
      </w:r>
    </w:p>
    <w:p>
      <w:pPr>
        <w:pStyle w:val="Heading1"/>
        <w:spacing w:before="400" w:after="160"/>
      </w:pPr>
      <w:r>
        <w:rPr>
          <w:rFonts w:ascii="Arial" w:cs="Arial" w:eastAsia="Arial" w:hAnsi="Arial"/>
          <w:b/>
          <w:bCs/>
          <w:color w:val="5F2EEA"/>
          <w:sz w:val="36"/>
          <w:szCs w:val="36"/>
        </w:rPr>
        <w:t xml:space="preserve">Deliverables Checklist</w:t>
      </w:r>
    </w:p>
    <w:p>
      <w:pPr>
        <w:pBdr>
          <w:bottom w:val="single" w:color="5F2EEA" w:sz="2"/>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00"/>
        <w:gridCol w:w="2760"/>
      </w:tblGrid>
      <w:tr>
        <w:trPr>
          <w:tblHeader/>
        </w:trPr>
        <w:tc>
          <w:tcPr>
            <w:tcW w:type="dxa" w:w="40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00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760"/>
            <w:tcBorders>
              <w:top w:val="single" w:color="CCCCCC" w:sz="1"/>
              <w:left w:val="single" w:color="CCCCCC" w:sz="1"/>
              <w:bottom w:val="single" w:color="CCCCCC" w:sz="1"/>
              <w:right w:val="single" w:color="CCCCCC" w:sz="1"/>
            </w:tcBorders>
            <w:shd w:fill="5F2EE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Source Code — ETL Pipeline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extract_load.py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Complete — Git clone, JSON parse, MySQL load (10 functions)</w:t>
            </w:r>
          </w:p>
        </w:tc>
      </w:tr>
      <w:tr>
        <w:tc>
          <w:tcPr>
            <w:tcW w:type="dxa" w:w="4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32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Source Code — SQL Queries</w:t>
            </w:r>
          </w:p>
        </w:tc>
        <w:tc>
          <w:tcPr>
            <w:tcW w:type="dxa" w:w="30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sql_queries.sql + bcs_sql_queries.sql</w:t>
            </w:r>
          </w:p>
        </w:tc>
        <w:tc>
          <w:tcPr>
            <w:tcW w:type="dxa" w:w="276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Complete — 34 total queries across all business cases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Source Code — Streamlit App</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phonepe_app.py + bcs_streamlit_app.py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Complete — 9-page main dashboard + 5 BCS case dashboard</w:t>
            </w:r>
          </w:p>
        </w:tc>
      </w:tr>
      <w:tr>
        <w:tc>
          <w:tcPr>
            <w:tcW w:type="dxa" w:w="4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32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Documentation</w:t>
            </w:r>
          </w:p>
        </w:tc>
        <w:tc>
          <w:tcPr>
            <w:tcW w:type="dxa" w:w="300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PhonePe_Documentation.docx + this addendum</w:t>
            </w:r>
          </w:p>
        </w:tc>
        <w:tc>
          <w:tcPr>
            <w:tcW w:type="dxa" w:w="2760"/>
            <w:tcBorders>
              <w:top w:val="single" w:color="CCCCCC" w:sz="1"/>
              <w:left w:val="single" w:color="CCCCCC" w:sz="1"/>
              <w:bottom w:val="single" w:color="CCCCCC" w:sz="1"/>
              <w:right w:val="single" w:color="CCCCCC" w:sz="1"/>
            </w:tcBorders>
            <w:shd w:fill="EDE9FF" w:val="clear"/>
            <w:tcMar>
              <w:top w:type="dxa" w:w="70"/>
              <w:left w:type="dxa" w:w="120"/>
              <w:bottom w:type="dxa" w:w="70"/>
              <w:right w:type="dxa" w:w="120"/>
            </w:tcMar>
          </w:tcPr>
          <w:p>
            <w:r>
              <w:rPr>
                <w:rFonts w:ascii="Arial" w:cs="Arial" w:eastAsia="Arial" w:hAnsi="Arial"/>
                <w:color w:val="333333"/>
                <w:sz w:val="20"/>
                <w:szCs w:val="20"/>
              </w:rPr>
              <w:t xml:space="preserve">Complete — 37 sections, 9 tables, setup guide, BCS analysis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Presentation Slides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PhonePe_BCS_Presentation.pptx</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Complete — 18 slides, all 5 BCS, scenario+SQL+charts+findings per case</w:t>
            </w:r>
          </w:p>
        </w:tc>
      </w:tr>
    </w:tbl>
    <w:p>
      <w:pPr>
        <w:spacing w:after="120"/>
      </w:pPr>
      <w:r>
        <w:t xml:space="preserve"/>
      </w:r>
    </w:p>
    <w:p>
      <w:pPr>
        <w:spacing w:before="400"/>
        <w:jc w:val="center"/>
      </w:pPr>
      <w:r>
        <w:rPr>
          <w:rFonts w:ascii="Arial" w:cs="Arial" w:eastAsia="Arial" w:hAnsi="Arial"/>
          <w:i/>
          <w:iCs/>
          <w:color w:val="888888"/>
          <w:sz w:val="20"/>
          <w:szCs w:val="20"/>
        </w:rPr>
        <w:t xml:space="preserve">— End of Business Case Studies Addendum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before="6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PhonePe Analytics | 5 Business Case Studies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F2EEA" w:sz="2"/>
      </w:pBdr>
      <w:spacing w:after="60"/>
      <w:jc w:val="right"/>
    </w:pPr>
    <w:r>
      <w:rPr>
        <w:rFonts w:ascii="Arial" w:cs="Arial" w:eastAsia="Arial" w:hAnsi="Arial"/>
        <w:color w:val="888888"/>
        <w:sz w:val="18"/>
        <w:szCs w:val="18"/>
      </w:rPr>
      <w:t xml:space="preserve">PhonePe Transaction Insights  |  5 Business Case Studies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5F2EE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1E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2026-03-09T12:11:28.625Z</dcterms:created>
  <dcterms:modified xsi:type="dcterms:W3CDTF">2026-03-09T12:11:28.626Z</dcterms:modified>
</cp:coreProperties>
</file>

<file path=docProps/custom.xml><?xml version="1.0" encoding="utf-8"?>
<Properties xmlns="http://schemas.openxmlformats.org/officeDocument/2006/custom-properties" xmlns:vt="http://schemas.openxmlformats.org/officeDocument/2006/docPropsVTypes"/>
</file>