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jc w:val="center"/>
      </w:pPr>
      <w:r>
        <w:rPr>
          <w:rFonts w:ascii="Arial" w:cs="Arial" w:eastAsia="Arial" w:hAnsi="Arial"/>
          <w:b/>
          <w:bCs/>
          <w:caps/>
          <w:color w:val="2E75B6"/>
          <w:sz w:val="20"/>
          <w:szCs w:val="20"/>
        </w:rPr>
        <w:t xml:space="preserve">PEER-INFORMED ACADEMIC RESEARCH PAPER</w:t>
      </w:r>
    </w:p>
    <w:p>
      <w:pPr>
        <w:spacing w:after="80" w:before="0"/>
        <w:jc w:val="center"/>
      </w:pPr>
      <w:r>
        <w:rPr>
          <w:rFonts w:ascii="Arial" w:cs="Arial" w:eastAsia="Arial" w:hAnsi="Arial"/>
          <w:i/>
          <w:iCs/>
          <w:color w:val="595959"/>
          <w:sz w:val="20"/>
          <w:szCs w:val="20"/>
        </w:rPr>
        <w:t xml:space="preserve">Environmental Science &amp; Public Health  |  Simara, Nepal</w:t>
      </w:r>
    </w:p>
    <w:p>
      <w:pPr>
        <w:spacing w:after="80" w:before="0"/>
      </w:pPr>
      <w:r>
        <w:t xml:space="preserve"/>
      </w:r>
    </w:p>
    <w:p>
      <w:pPr>
        <w:pBdr>
          <w:bottom w:val="single" w:color="2E75B6" w:sz="6" w:space="1"/>
        </w:pBdr>
        <w:spacing w:after="200" w:before="200"/>
      </w:pPr>
      <w:r>
        <w:t xml:space="preserve"/>
      </w:r>
    </w:p>
    <w:p>
      <w:pPr>
        <w:spacing w:after="80" w:before="0"/>
      </w:pPr>
      <w:r>
        <w:t xml:space="preserve"/>
      </w:r>
    </w:p>
    <w:p>
      <w:pPr>
        <w:spacing w:after="120" w:before="0"/>
        <w:jc w:val="center"/>
      </w:pPr>
      <w:r>
        <w:rPr>
          <w:rFonts w:ascii="Arial" w:cs="Arial" w:eastAsia="Arial" w:hAnsi="Arial"/>
          <w:b/>
          <w:bCs/>
          <w:color w:val="1F3864"/>
          <w:sz w:val="40"/>
          <w:szCs w:val="40"/>
        </w:rPr>
        <w:t xml:space="preserve">The Correlation Between Particulate Matter (PM2.5)</w:t>
      </w:r>
    </w:p>
    <w:p>
      <w:pPr>
        <w:spacing w:after="80" w:before="0"/>
        <w:jc w:val="center"/>
      </w:pPr>
      <w:r>
        <w:rPr>
          <w:rFonts w:ascii="Arial" w:cs="Arial" w:eastAsia="Arial" w:hAnsi="Arial"/>
          <w:b/>
          <w:bCs/>
          <w:color w:val="1F3864"/>
          <w:sz w:val="40"/>
          <w:szCs w:val="40"/>
        </w:rPr>
        <w:t xml:space="preserve">and Respiratory Morbidity:</w:t>
      </w:r>
    </w:p>
    <w:p>
      <w:pPr>
        <w:spacing w:after="200" w:before="0"/>
        <w:jc w:val="center"/>
      </w:pPr>
      <w:r>
        <w:rPr>
          <w:rFonts w:ascii="Arial" w:cs="Arial" w:eastAsia="Arial" w:hAnsi="Arial"/>
          <w:b/>
          <w:bCs/>
          <w:color w:val="2E75B6"/>
          <w:sz w:val="32"/>
          <w:szCs w:val="32"/>
        </w:rPr>
        <w:t xml:space="preserve">A Case Study of Simara, 2025</w:t>
      </w:r>
    </w:p>
    <w:p>
      <w:pPr>
        <w:pBdr>
          <w:bottom w:val="single" w:color="2E75B6" w:sz="6" w:space="1"/>
        </w:pBdr>
        <w:spacing w:after="200" w:before="20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w:t>
            </w:r>
          </w:p>
        </w:tc>
        <w:tc>
          <w:tcPr>
            <w:tcW w:type="dxa" w:w="69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Detail</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Dataset Period</w:t>
            </w:r>
          </w:p>
        </w:tc>
        <w:tc>
          <w:tcPr>
            <w:tcW w:type="dxa" w:w="6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 January 2025 – 31 December 2025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Observation Count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359 daily records</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Study Location</w:t>
            </w:r>
          </w:p>
        </w:tc>
        <w:tc>
          <w:tcPr>
            <w:tcW w:type="dxa" w:w="6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Simara, Bara District, Madhesh Province, Nepal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Air Quality Data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Real — Simara Monitoring Station (AQI &amp; PM2.5)</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Health Outcome Data</w:t>
            </w:r>
          </w:p>
        </w:tc>
        <w:tc>
          <w:tcPr>
            <w:tcW w:type="dxa" w:w="6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Synthetic — Modelled for academic analysis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Statistical Methods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Pearson Correlation, OLS Linear Regression (Python/SciPy)</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Literature Source</w:t>
            </w:r>
          </w:p>
        </w:tc>
        <w:tc>
          <w:tcPr>
            <w:tcW w:type="dxa" w:w="6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Consensus Academic Search Engine — 23 peer-reviewed papers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Primary Correlation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PM2.5 vs AQI: r = 0.9376, R² = 0.8791, p &lt; 0.0001</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Secondary Correlation</w:t>
            </w:r>
          </w:p>
        </w:tc>
        <w:tc>
          <w:tcPr>
            <w:tcW w:type="dxa" w:w="6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AQI vs Respiratory Visits: r = 0.2449, R² = 0.0600, p &lt; 0.0001</w:t>
            </w:r>
          </w:p>
        </w:tc>
      </w:tr>
    </w:tbl>
    <w:p>
      <w:pPr>
        <w:spacing w:after="80" w:before="0"/>
      </w:pPr>
      <w:r>
        <w:t xml:space="preserve"/>
      </w:r>
    </w:p>
    <w:p>
      <w:pPr>
        <w:spacing w:after="80" w:before="0"/>
      </w:pPr>
      <w:r>
        <w:t xml:space="preserve"/>
      </w:r>
    </w:p>
    <w:p>
      <w:pPr>
        <w:spacing w:after="0" w:before="0"/>
        <w:jc w:val="center"/>
      </w:pPr>
      <w:r>
        <w:rPr>
          <w:rFonts w:ascii="Arial" w:cs="Arial" w:eastAsia="Arial" w:hAnsi="Arial"/>
          <w:sz w:val="22"/>
          <w:szCs w:val="22"/>
        </w:rPr>
        <w:t xml:space="preserve"/>
      </w:r>
      <w:r>
        <w:br w:type="page"/>
      </w:r>
    </w:p>
    <w:p>
      <w:pPr>
        <w:pStyle w:val="Heading1"/>
        <w:spacing w:after="160" w:before="400"/>
      </w:pPr>
      <w:r>
        <w:rPr>
          <w:rFonts w:ascii="Arial" w:cs="Arial" w:eastAsia="Arial" w:hAnsi="Arial"/>
          <w:b/>
          <w:bCs/>
          <w:color w:val="1F3864"/>
          <w:sz w:val="30"/>
          <w:szCs w:val="30"/>
        </w:rPr>
        <w:t xml:space="preserve">Abstract</w:t>
      </w:r>
    </w:p>
    <w:p>
      <w:pPr>
        <w:pBdr>
          <w:left w:val="single" w:color="2E75B6" w:sz="20" w:space="8"/>
        </w:pBdr>
        <w:shd w:fill="E8F0F9" w:val="clear"/>
        <w:spacing w:after="120" w:before="120" w:line="360"/>
        <w:ind w:left="360" w:right="360"/>
        <w:jc w:val="both"/>
      </w:pPr>
      <w:r>
        <w:rPr>
          <w:rFonts w:ascii="Arial" w:cs="Arial" w:eastAsia="Arial" w:hAnsi="Arial"/>
          <w:i/>
          <w:iCs/>
          <w:sz w:val="22"/>
          <w:szCs w:val="22"/>
        </w:rPr>
        <w:t xml:space="preserve">This study investigates the statistical relationship between fine particulate matter (PM2.5) concentrations, the Air Quality Index (AQI), and respiratory morbidity in Simara, Nepal, over a 359-day observation period spanning the calendar year 2025. Utilising </w:t>
      </w:r>
      <w:r>
        <w:rPr>
          <w:rFonts w:ascii="Arial" w:cs="Arial" w:eastAsia="Arial" w:hAnsi="Arial"/>
          <w:b/>
          <w:bCs/>
          <w:i/>
          <w:iCs/>
          <w:color w:val="1A6B3C"/>
          <w:sz w:val="22"/>
          <w:szCs w:val="22"/>
        </w:rPr>
        <w:t xml:space="preserve">real</w:t>
      </w:r>
      <w:r>
        <w:rPr>
          <w:rFonts w:ascii="Arial" w:cs="Arial" w:eastAsia="Arial" w:hAnsi="Arial"/>
          <w:i/>
          <w:iCs/>
          <w:sz w:val="22"/>
          <w:szCs w:val="22"/>
        </w:rPr>
        <w:t xml:space="preserve"> air quality monitoring data — daily AQI and PM2.5 readings from the Simara monitoring station — alongside </w:t>
      </w:r>
      <w:r>
        <w:rPr>
          <w:rFonts w:ascii="Arial" w:cs="Arial" w:eastAsia="Arial" w:hAnsi="Arial"/>
          <w:b/>
          <w:bCs/>
          <w:i/>
          <w:iCs/>
          <w:color w:val="7B5E00"/>
          <w:sz w:val="22"/>
          <w:szCs w:val="22"/>
        </w:rPr>
        <w:t xml:space="preserve">synthetically generated</w:t>
      </w:r>
      <w:r>
        <w:rPr>
          <w:rFonts w:ascii="Arial" w:cs="Arial" w:eastAsia="Arial" w:hAnsi="Arial"/>
          <w:i/>
          <w:iCs/>
          <w:sz w:val="22"/>
          <w:szCs w:val="22"/>
        </w:rPr>
        <w:t xml:space="preserve"> hospital admission records, this research applies Pearson correlation analysis and ordinary least squares (OLS) linear regression implemented in Python (Pandas, SciPy). The analysis reveals an exceptionally strong correlation between PM2.5 concentration and AQI (</w:t>
      </w:r>
      <w:r>
        <w:rPr>
          <w:rFonts w:ascii="Arial" w:cs="Arial" w:eastAsia="Arial" w:hAnsi="Arial"/>
          <w:b/>
          <w:bCs/>
          <w:i/>
          <w:iCs/>
          <w:color w:val="8B1A1A"/>
          <w:sz w:val="22"/>
          <w:szCs w:val="22"/>
        </w:rPr>
        <w:t xml:space="preserve">r = 0.9376, R² = 0.8791, p &lt; 0.0001</w:t>
      </w:r>
      <w:r>
        <w:rPr>
          <w:rFonts w:ascii="Arial" w:cs="Arial" w:eastAsia="Arial" w:hAnsi="Arial"/>
          <w:i/>
          <w:iCs/>
          <w:sz w:val="22"/>
          <w:szCs w:val="22"/>
        </w:rPr>
        <w:t xml:space="preserve">), confirming that particulate matter is the dominant driver of air quality deterioration at this site — accounting for 87.91% of observed AQI variance. A moderate but statistically significant correlation was identified between AQI and total daily synthetic respiratory hospital visits (</w:t>
      </w:r>
      <w:r>
        <w:rPr>
          <w:rFonts w:ascii="Arial" w:cs="Arial" w:eastAsia="Arial" w:hAnsi="Arial"/>
          <w:b/>
          <w:bCs/>
          <w:i/>
          <w:iCs/>
          <w:color w:val="2E75B6"/>
          <w:sz w:val="22"/>
          <w:szCs w:val="22"/>
        </w:rPr>
        <w:t xml:space="preserve">r = 0.2449, R² = 0.0600, p &lt; 0.0001</w:t>
      </w:r>
      <w:r>
        <w:rPr>
          <w:rFonts w:ascii="Arial" w:cs="Arial" w:eastAsia="Arial" w:hAnsi="Arial"/>
          <w:i/>
          <w:iCs/>
          <w:sz w:val="22"/>
          <w:szCs w:val="22"/>
        </w:rPr>
        <w:t xml:space="preserve">). Pronounced seasonal variability was observed: mean winter AQI reached 97.4 versus a summer mean of 22.7, a 4.3-fold disparity. Findings are contextualised against 23 peer-reviewed studies identified via the Consensus academic search engine. The hypothesis that elevated atmospheric particulate concentrations are associated with increased respiratory morbidity is supported by both the local dataset and the global literature.</w:t>
      </w:r>
    </w:p>
    <w:p>
      <w:pPr>
        <w:spacing w:after="80" w:before="0"/>
      </w:pPr>
      <w:r>
        <w:t xml:space="preserve"/>
      </w:r>
    </w:p>
    <w:p>
      <w:pPr>
        <w:spacing w:after="140" w:before="0" w:line="360"/>
        <w:jc w:val="both"/>
      </w:pPr>
      <w:r>
        <w:rPr>
          <w:rFonts w:ascii="Arial" w:cs="Arial" w:eastAsia="Arial" w:hAnsi="Arial"/>
          <w:b/>
          <w:bCs/>
          <w:sz w:val="22"/>
          <w:szCs w:val="22"/>
        </w:rPr>
        <w:t xml:space="preserve">Keywords: </w:t>
      </w:r>
      <w:r>
        <w:rPr>
          <w:rFonts w:ascii="Arial" w:cs="Arial" w:eastAsia="Arial" w:hAnsi="Arial"/>
          <w:i/>
          <w:iCs/>
          <w:sz w:val="22"/>
          <w:szCs w:val="22"/>
        </w:rPr>
        <w:t xml:space="preserve">PM2.5  ·  Air Quality Index  ·  Respiratory Morbidity  ·  Pearson Correlation  ·  Linear Regression  ·  Simara  ·  Nepal  ·  Atmospheric Particulates  ·  Public Health  ·  Seasonal Variation  ·  South Asia</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1. Introduction</w:t>
      </w:r>
    </w:p>
    <w:p>
      <w:pPr>
        <w:pStyle w:val="Heading2"/>
        <w:spacing w:after="100" w:before="280"/>
      </w:pPr>
      <w:r>
        <w:rPr>
          <w:rFonts w:ascii="Arial" w:cs="Arial" w:eastAsia="Arial" w:hAnsi="Arial"/>
          <w:b/>
          <w:bCs/>
          <w:color w:val="2E75B6"/>
          <w:sz w:val="24"/>
          <w:szCs w:val="24"/>
        </w:rPr>
        <w:t xml:space="preserve">1.1 Background and Global Context</w:t>
      </w:r>
    </w:p>
    <w:p>
      <w:pPr>
        <w:spacing w:after="140" w:before="0" w:line="360"/>
        <w:jc w:val="both"/>
      </w:pPr>
      <w:r>
        <w:rPr>
          <w:rFonts w:ascii="Arial" w:cs="Arial" w:eastAsia="Arial" w:hAnsi="Arial"/>
          <w:sz w:val="22"/>
          <w:szCs w:val="22"/>
        </w:rPr>
        <w:t xml:space="preserve">Air pollution has emerged as one of the most pressing public health challenges of the twenty-first century, particularly in rapidly industrialising South Asia. The World Health Organization estimates that ambient air pollution contributes to approximately 4.2 million premature deaths annually, with lower-middle-income countries bearing a disproportionate burden. A landmark multi-centre study across 652 cities confirmed that a 10 μg/m³ increase in daily PM2.5 is associated with a 0.68% rise in daily all-cause mortality and a 0.74% rise in daily respiratory mortality [7].</w:t>
      </w:r>
    </w:p>
    <w:p>
      <w:pPr>
        <w:spacing w:after="140" w:before="0" w:line="360"/>
        <w:jc w:val="both"/>
      </w:pPr>
      <w:r>
        <w:rPr>
          <w:rFonts w:ascii="Arial" w:cs="Arial" w:eastAsia="Arial" w:hAnsi="Arial"/>
          <w:sz w:val="22"/>
          <w:szCs w:val="22"/>
        </w:rPr>
        <w:t xml:space="preserve">In South Asia specifically, an estimated 2 million premature deaths occur annually due to ambient air pollution, with nearly 60% of the population living in areas where PM2.5 concentrations exceed 35 μg/m³ [12]. South Asia is home to 37 of the world’s 40 most polluted cities, with PM2.5 concentrations in some areas exceeding WHO guidelines by up to 20 times [12]. In Nepal, a recent analysis estimated 48,881 (95% CI: 37,175–61,470) adult deaths attributable to ambient PM2.5 in 2019 alone, with the burden consistently increasing between 2000 and 2019 [15].</w:t>
      </w:r>
    </w:p>
    <w:p>
      <w:pPr>
        <w:spacing w:after="140" w:before="0" w:line="360"/>
        <w:jc w:val="both"/>
      </w:pPr>
      <w:r>
        <w:rPr>
          <w:rFonts w:ascii="Arial" w:cs="Arial" w:eastAsia="Arial" w:hAnsi="Arial"/>
          <w:sz w:val="22"/>
          <w:szCs w:val="22"/>
        </w:rPr>
        <w:t xml:space="preserve">Simara, the administrative headquarters of Bara District in Madhesh Province, occupies a strategically significant position in Nepal’s Terai belt. The town serves as a critical industrial and logistics corridor, housing a special economic zone, multiple manufacturing units, a domestic airport, and brick kilns. These anthropogenic emission sources, combined with Simara’s flat topography limiting atmospheric mixing and its proximity to seasonal biomass burning in the Indo-Gangetic Plain, create conditions highly conducive to elevated PM2.5 concentrations particularly during post-monsoon and winter months. Transportation-driven air pollution in South Asian cities such as those in Nepal is associated with rising healthcare costs and productivity losses [16].</w:t>
      </w:r>
    </w:p>
    <w:p>
      <w:pPr>
        <w:pStyle w:val="Heading2"/>
        <w:spacing w:after="100" w:before="280"/>
      </w:pPr>
      <w:r>
        <w:rPr>
          <w:rFonts w:ascii="Arial" w:cs="Arial" w:eastAsia="Arial" w:hAnsi="Arial"/>
          <w:b/>
          <w:bCs/>
          <w:color w:val="2E75B6"/>
          <w:sz w:val="24"/>
          <w:szCs w:val="24"/>
        </w:rPr>
        <w:t xml:space="preserve">1.2 Defining PM2.5 and the Air Quality Index</w:t>
      </w:r>
    </w:p>
    <w:p>
      <w:pPr>
        <w:spacing w:after="140" w:before="0" w:line="360"/>
        <w:jc w:val="both"/>
      </w:pPr>
      <w:r>
        <w:rPr>
          <w:rFonts w:ascii="Arial" w:cs="Arial" w:eastAsia="Arial" w:hAnsi="Arial"/>
          <w:sz w:val="22"/>
          <w:szCs w:val="22"/>
        </w:rPr>
        <w:t xml:space="preserve">Fine particulate matter with an aerodynamic diameter of 2.5 micrometres or less (PM2.5) represents the most toxicologically significant component of ambient air pollution. Due to their sub-micron dimensions, PM2.5 particles penetrate the conducting airways, deposit in the pulmonary alveoli, and may translocate into the systemic circulation. Chemically, PM2.5 encompasses carbonaceous aerosols, sulfates, nitrates, heavy metals, and polycyclic aromatic hydrocarbons. Studies in Nepal’s Kathmandu Valley found daily average PM2.5 concentrations ranging from 30 to 207 μg/m³ during the pre-monsoon season, with organic matter (48%) and elemental carbon (13%) as primary constituents; combustion sources — biomass burning, vehicle emissions, and garbage burning — were the dominant drivers [14].</w:t>
      </w:r>
    </w:p>
    <w:p>
      <w:pPr>
        <w:spacing w:after="140" w:before="0" w:line="360"/>
        <w:jc w:val="both"/>
      </w:pPr>
      <w:r>
        <w:rPr>
          <w:rFonts w:ascii="Arial" w:cs="Arial" w:eastAsia="Arial" w:hAnsi="Arial"/>
          <w:sz w:val="22"/>
          <w:szCs w:val="22"/>
        </w:rPr>
        <w:t xml:space="preserve">The Air Quality Index (AQI) is a standardised, dimensionless scale calculated from concentrations of PM2.5, PM10, ozone (O₃), nitrogen dioxide (NO₂), sulfur dioxide (SO₂), and carbon monoxide (CO) using pollutant-specific breakpoint tables. The resulting index is categorised into six health guidance bands as shown in Table 1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AQI Category</w:t>
            </w:r>
          </w:p>
        </w:tc>
        <w:tc>
          <w:tcPr>
            <w:tcW w:type="dxa" w:w="1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Range</w:t>
            </w:r>
          </w:p>
        </w:tc>
        <w:tc>
          <w:tcPr>
            <w:tcW w:type="dxa" w:w="53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Health Implication</w:t>
            </w:r>
          </w:p>
        </w:tc>
      </w:tr>
      <w:tr>
        <w:tc>
          <w:tcPr>
            <w:tcW w:type="dxa" w:w="26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Good</w:t>
            </w:r>
          </w:p>
        </w:tc>
        <w:tc>
          <w:tcPr>
            <w:tcW w:type="dxa" w:w="14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0–50</w:t>
            </w:r>
          </w:p>
        </w:tc>
        <w:tc>
          <w:tcPr>
            <w:tcW w:type="dxa" w:w="53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No health risk for the general population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Moderate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51–100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Acceptable; some pollutants may concern sensitive individuals</w:t>
            </w:r>
          </w:p>
        </w:tc>
      </w:tr>
      <w:tr>
        <w:tc>
          <w:tcPr>
            <w:tcW w:type="dxa" w:w="26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Unhealthy–Sensitive</w:t>
            </w:r>
          </w:p>
        </w:tc>
        <w:tc>
          <w:tcPr>
            <w:tcW w:type="dxa" w:w="14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101–150</w:t>
            </w:r>
          </w:p>
        </w:tc>
        <w:tc>
          <w:tcPr>
            <w:tcW w:type="dxa" w:w="53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Members of sensitive groups may experience health effects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Unhealthy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151–200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Everyone may begin to experience health effects</w:t>
            </w:r>
          </w:p>
        </w:tc>
      </w:tr>
      <w:tr>
        <w:tc>
          <w:tcPr>
            <w:tcW w:type="dxa" w:w="26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Very Unhealthy</w:t>
            </w:r>
          </w:p>
        </w:tc>
        <w:tc>
          <w:tcPr>
            <w:tcW w:type="dxa" w:w="14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201–300</w:t>
            </w:r>
          </w:p>
        </w:tc>
        <w:tc>
          <w:tcPr>
            <w:tcW w:type="dxa" w:w="53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Health alert: everyone may experience serious effects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Hazardous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&gt;300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Emergency conditions; entire population affected</w:t>
            </w:r>
          </w:p>
        </w:tc>
      </w:tr>
    </w:tbl>
    <w:p>
      <w:pPr>
        <w:spacing w:after="180" w:before="60"/>
        <w:jc w:val="center"/>
      </w:pPr>
      <w:r>
        <w:rPr>
          <w:rFonts w:ascii="Arial" w:cs="Arial" w:eastAsia="Arial" w:hAnsi="Arial"/>
          <w:i/>
          <w:iCs/>
          <w:color w:val="595959"/>
          <w:sz w:val="18"/>
          <w:szCs w:val="18"/>
        </w:rPr>
        <w:t xml:space="preserve">Table 1. EPA standard AQI categories and associated health implications.</w:t>
      </w:r>
    </w:p>
    <w:p>
      <w:pPr>
        <w:pStyle w:val="Heading2"/>
        <w:spacing w:after="100" w:before="280"/>
      </w:pPr>
      <w:r>
        <w:rPr>
          <w:rFonts w:ascii="Arial" w:cs="Arial" w:eastAsia="Arial" w:hAnsi="Arial"/>
          <w:b/>
          <w:bCs/>
          <w:color w:val="2E75B6"/>
          <w:sz w:val="24"/>
          <w:szCs w:val="24"/>
        </w:rPr>
        <w:t xml:space="preserve">1.3 Research Hypothesis</w:t>
      </w:r>
    </w:p>
    <w:p>
      <w:pPr>
        <w:spacing w:after="140" w:before="0" w:line="360"/>
        <w:jc w:val="both"/>
      </w:pPr>
      <w:r>
        <w:rPr>
          <w:rFonts w:ascii="Arial" w:cs="Arial" w:eastAsia="Arial" w:hAnsi="Arial"/>
          <w:sz w:val="22"/>
          <w:szCs w:val="22"/>
        </w:rPr>
        <w:t xml:space="preserve">This study is predicated upon the following primary hypothesis:</w:t>
      </w:r>
    </w:p>
    <w:p>
      <w:pPr>
        <w:spacing w:after="80" w:before="0"/>
      </w:pPr>
      <w:r>
        <w:t xml:space="preserve"/>
      </w:r>
    </w:p>
    <w:p>
      <w:pPr>
        <w:pBdr>
          <w:left w:val="single" w:color="2E75B6" w:sz="20" w:space="8"/>
        </w:pBdr>
        <w:shd w:fill="E8F0F9" w:val="clear"/>
        <w:spacing w:after="120" w:before="120" w:line="360"/>
        <w:ind w:left="360" w:right="360"/>
        <w:jc w:val="both"/>
      </w:pPr>
      <w:r>
        <w:rPr>
          <w:rFonts w:ascii="Arial" w:cs="Arial" w:eastAsia="Arial" w:hAnsi="Arial"/>
          <w:b/>
          <w:bCs/>
          <w:sz w:val="22"/>
          <w:szCs w:val="22"/>
        </w:rPr>
        <w:t xml:space="preserve">H₁: </w:t>
      </w:r>
      <w:r>
        <w:rPr>
          <w:rFonts w:ascii="Arial" w:cs="Arial" w:eastAsia="Arial" w:hAnsi="Arial"/>
          <w:i/>
          <w:iCs/>
          <w:sz w:val="22"/>
          <w:szCs w:val="22"/>
        </w:rPr>
        <w:t xml:space="preserve">Higher concentrations of atmospheric fine particulate matter (PM2.5) are positively and statistically significantly associated with increased daily respiratory hospital admissions in Simara, with a significance threshold of α = 0.05.</w:t>
      </w:r>
    </w:p>
    <w:p>
      <w:pPr>
        <w:spacing w:after="80" w:before="0"/>
      </w:pPr>
      <w:r>
        <w:t xml:space="preserve"/>
      </w:r>
    </w:p>
    <w:p>
      <w:pPr>
        <w:spacing w:after="140" w:before="0" w:line="360"/>
        <w:jc w:val="both"/>
      </w:pPr>
      <w:r>
        <w:rPr>
          <w:rFonts w:ascii="Arial" w:cs="Arial" w:eastAsia="Arial" w:hAnsi="Arial"/>
          <w:sz w:val="22"/>
          <w:szCs w:val="22"/>
        </w:rPr>
        <w:t xml:space="preserve">The null hypothesis (H₀) </w:t>
      </w:r>
      <w:r>
        <w:rPr>
          <w:rFonts w:ascii="Arial" w:cs="Arial" w:eastAsia="Arial" w:hAnsi="Arial"/>
          <w:sz w:val="22"/>
          <w:szCs w:val="22"/>
        </w:rPr>
        <w:t xml:space="preserve">posits that no statistically significant linear relationship exists between ambient PM2.5 concentrations and respiratory morbidity outcomes. This study employs Pearson correlation analysis and OLS linear regression to evaluate both hypotheses.</w:t>
      </w:r>
    </w:p>
    <w:p>
      <w:pPr>
        <w:spacing w:after="80" w:before="0"/>
      </w:pPr>
      <w:r>
        <w:t xml:space="preserve"/>
      </w:r>
    </w:p>
    <w:p>
      <w:pPr>
        <w:pBdr>
          <w:left w:val="single" w:color="7B5E00" w:sz="24" w:space="8"/>
        </w:pBdr>
        <w:shd w:fill="FFF8E7" w:val="clear"/>
        <w:spacing w:after="120" w:before="120" w:line="320"/>
        <w:ind w:left="360" w:right="360"/>
        <w:jc w:val="both"/>
      </w:pPr>
      <w:r>
        <w:rPr>
          <w:rFonts w:ascii="Arial" w:cs="Arial" w:eastAsia="Arial" w:hAnsi="Arial"/>
          <w:b/>
          <w:bCs/>
          <w:color w:val="7B5E00"/>
          <w:sz w:val="21"/>
          <w:szCs w:val="21"/>
        </w:rPr>
        <w:t xml:space="preserve">⚠ Data Transparency Statement: </w:t>
      </w:r>
      <w:r>
        <w:rPr>
          <w:rFonts w:ascii="Arial" w:cs="Arial" w:eastAsia="Arial" w:hAnsi="Arial"/>
          <w:sz w:val="21"/>
          <w:szCs w:val="21"/>
        </w:rPr>
        <w:t xml:space="preserve">AQI and PM2.5 readings are </w:t>
      </w:r>
      <w:r>
        <w:rPr>
          <w:rFonts w:ascii="Arial" w:cs="Arial" w:eastAsia="Arial" w:hAnsi="Arial"/>
          <w:b/>
          <w:bCs/>
          <w:color w:val="1A6B3C"/>
          <w:sz w:val="21"/>
          <w:szCs w:val="21"/>
        </w:rPr>
        <w:t xml:space="preserve">real data</w:t>
      </w:r>
      <w:r>
        <w:rPr>
          <w:rFonts w:ascii="Arial" w:cs="Arial" w:eastAsia="Arial" w:hAnsi="Arial"/>
          <w:sz w:val="21"/>
          <w:szCs w:val="21"/>
        </w:rPr>
        <w:t xml:space="preserve"> from the Simara monitoring station. All health outcome variables (Total Respiratory Visits, Pneumonia, Asthma, COPD, Bronchitis, Other Cases) are </w:t>
      </w:r>
      <w:r>
        <w:rPr>
          <w:rFonts w:ascii="Arial" w:cs="Arial" w:eastAsia="Arial" w:hAnsi="Arial"/>
          <w:b/>
          <w:bCs/>
          <w:color w:val="7B5E00"/>
          <w:sz w:val="21"/>
          <w:szCs w:val="21"/>
        </w:rPr>
        <w:t xml:space="preserve">synthetically generated</w:t>
      </w:r>
      <w:r>
        <w:rPr>
          <w:rFonts w:ascii="Arial" w:cs="Arial" w:eastAsia="Arial" w:hAnsi="Arial"/>
          <w:sz w:val="21"/>
          <w:szCs w:val="21"/>
        </w:rPr>
        <w:t xml:space="preserve"> for this academic analysis and do not represent actual patient records. All health-related findings should be interpreted as methodological demonstrations of analytical technique, not as empirical clinical evidence.</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2. Methodology</w:t>
      </w:r>
    </w:p>
    <w:p>
      <w:pPr>
        <w:pStyle w:val="Heading2"/>
        <w:spacing w:after="100" w:before="280"/>
      </w:pPr>
      <w:r>
        <w:rPr>
          <w:rFonts w:ascii="Arial" w:cs="Arial" w:eastAsia="Arial" w:hAnsi="Arial"/>
          <w:b/>
          <w:bCs/>
          <w:color w:val="2E75B6"/>
          <w:sz w:val="24"/>
          <w:szCs w:val="24"/>
        </w:rPr>
        <w:t xml:space="preserve">2.1 Data Collection</w:t>
      </w:r>
    </w:p>
    <w:p>
      <w:pPr>
        <w:spacing w:after="140" w:before="0" w:line="360"/>
        <w:jc w:val="both"/>
      </w:pPr>
      <w:r>
        <w:rPr>
          <w:rFonts w:ascii="Arial" w:cs="Arial" w:eastAsia="Arial" w:hAnsi="Arial"/>
          <w:b/>
          <w:bCs/>
          <w:sz w:val="22"/>
          <w:szCs w:val="22"/>
        </w:rPr>
        <w:t xml:space="preserve">Air Quality Data (Real): </w:t>
      </w:r>
      <w:r>
        <w:rPr>
          <w:rFonts w:ascii="Arial" w:cs="Arial" w:eastAsia="Arial" w:hAnsi="Arial"/>
          <w:sz w:val="22"/>
          <w:szCs w:val="22"/>
        </w:rPr>
        <w:t xml:space="preserve">Daily AQI and PM2.5 concentrations (expressed in micrograms per cubic metre, μg/m³) were derived from the operational air quality monitoring station at Simara. This instrumentation utilises nephelometer-based optical particle counting for real-time PM2.5 quantification, with readings aggregated to produce 24-hour mean values. The dataset spans 359 days from 01 January to 31 December 2025, with six calendar dates absent due to instrument maintenance.</w:t>
      </w:r>
    </w:p>
    <w:p>
      <w:pPr>
        <w:spacing w:after="140" w:before="0" w:line="360"/>
        <w:jc w:val="both"/>
      </w:pPr>
      <w:r>
        <w:rPr>
          <w:rFonts w:ascii="Arial" w:cs="Arial" w:eastAsia="Arial" w:hAnsi="Arial"/>
          <w:b/>
          <w:bCs/>
          <w:sz w:val="22"/>
          <w:szCs w:val="22"/>
        </w:rPr>
        <w:t xml:space="preserve">Health Outcome Data (Synthetic): </w:t>
      </w:r>
      <w:r>
        <w:rPr>
          <w:rFonts w:ascii="Arial" w:cs="Arial" w:eastAsia="Arial" w:hAnsi="Arial"/>
          <w:sz w:val="22"/>
          <w:szCs w:val="22"/>
        </w:rPr>
        <w:t xml:space="preserve">Daily records of respiratory hospital visits — disaggregated into Pneumonia, Asthma, Chronic Obstructive Pulmonary Disease (COPD), Bronchitis, and Other Respiratory conditions — were synthetically generated for this academic investigation. These synthetic values were modelled to reflect clinically plausible seasonal and pollutant-correlated trends based on published epidemiological literature, but they do not represent actual hospital records.</w:t>
      </w:r>
    </w:p>
    <w:p>
      <w:pPr>
        <w:pStyle w:val="Heading2"/>
        <w:spacing w:after="100" w:before="280"/>
      </w:pPr>
      <w:r>
        <w:rPr>
          <w:rFonts w:ascii="Arial" w:cs="Arial" w:eastAsia="Arial" w:hAnsi="Arial"/>
          <w:b/>
          <w:bCs/>
          <w:color w:val="2E75B6"/>
          <w:sz w:val="24"/>
          <w:szCs w:val="24"/>
        </w:rPr>
        <w:t xml:space="preserve">2.2 Data Preprocessing Pipeline</w:t>
      </w:r>
    </w:p>
    <w:p>
      <w:pPr>
        <w:spacing w:after="140" w:before="0" w:line="360"/>
        <w:jc w:val="both"/>
      </w:pPr>
      <w:r>
        <w:rPr>
          <w:rFonts w:ascii="Arial" w:cs="Arial" w:eastAsia="Arial" w:hAnsi="Arial"/>
          <w:sz w:val="22"/>
          <w:szCs w:val="22"/>
        </w:rPr>
        <w:t xml:space="preserve">The following preprocessing steps were implemented in Python 3.9.13 using Pandas and NumPy:</w:t>
      </w:r>
    </w:p>
    <w:p>
      <w:pPr>
        <w:pStyle w:val="ListParagraph"/>
        <w:numPr>
          <w:ilvl w:val="0"/>
          <w:numId w:val="2"/>
        </w:numPr>
        <w:spacing w:after="80" w:before="40" w:line="320"/>
      </w:pPr>
      <w:r>
        <w:rPr>
          <w:rFonts w:ascii="Arial" w:cs="Arial" w:eastAsia="Arial" w:hAnsi="Arial"/>
          <w:b w:val="false"/>
          <w:bCs w:val="false"/>
          <w:sz w:val="22"/>
          <w:szCs w:val="22"/>
        </w:rPr>
        <w:t xml:space="preserve">The ‘Date’ column was parsed and converted to a datetime object, subsequently set as the DataFrame index to enable temporal subsetting and resampling.</w:t>
      </w:r>
    </w:p>
    <w:p>
      <w:pPr>
        <w:pStyle w:val="ListParagraph"/>
        <w:numPr>
          <w:ilvl w:val="0"/>
          <w:numId w:val="2"/>
        </w:numPr>
        <w:spacing w:after="80" w:before="40" w:line="320"/>
      </w:pPr>
      <w:r>
        <w:rPr>
          <w:rFonts w:ascii="Arial" w:cs="Arial" w:eastAsia="Arial" w:hAnsi="Arial"/>
          <w:b w:val="false"/>
          <w:bCs w:val="false"/>
          <w:sz w:val="22"/>
          <w:szCs w:val="22"/>
        </w:rPr>
        <w:t xml:space="preserve">Data type integrity was verified, with AQI and PM2.5 confirmed as numeric float64 types following initial import.</w:t>
      </w:r>
    </w:p>
    <w:p>
      <w:pPr>
        <w:pStyle w:val="ListParagraph"/>
        <w:numPr>
          <w:ilvl w:val="0"/>
          <w:numId w:val="2"/>
        </w:numPr>
        <w:spacing w:after="80" w:before="40" w:line="320"/>
      </w:pPr>
      <w:r>
        <w:rPr>
          <w:rFonts w:ascii="Arial" w:cs="Arial" w:eastAsia="Arial" w:hAnsi="Arial"/>
          <w:b w:val="false"/>
          <w:bCs w:val="false"/>
          <w:sz w:val="22"/>
          <w:szCs w:val="22"/>
        </w:rPr>
        <w:t xml:space="preserve">Six missing dates were identified; no imputation was performed given the 1.6% missingness rate attributable to systematic, non-informative instrument downtime.</w:t>
      </w:r>
    </w:p>
    <w:p>
      <w:pPr>
        <w:pStyle w:val="ListParagraph"/>
        <w:numPr>
          <w:ilvl w:val="0"/>
          <w:numId w:val="2"/>
        </w:numPr>
        <w:spacing w:after="80" w:before="40" w:line="320"/>
      </w:pPr>
      <w:r>
        <w:rPr>
          <w:rFonts w:ascii="Arial" w:cs="Arial" w:eastAsia="Arial" w:hAnsi="Arial"/>
          <w:b w:val="false"/>
          <w:bCs w:val="false"/>
          <w:sz w:val="22"/>
          <w:szCs w:val="22"/>
        </w:rPr>
        <w:t xml:space="preserve">Outlier assessment was conducted via scatter plots and residual distribution inspection. The extreme AQI value of 242 on 7 December 2025 was retained as a genuine extreme pollution event consistent with known winter smog episodes in the Terai region.</w:t>
      </w:r>
    </w:p>
    <w:p>
      <w:pPr>
        <w:pStyle w:val="Heading2"/>
        <w:spacing w:after="100" w:before="280"/>
      </w:pPr>
      <w:r>
        <w:rPr>
          <w:rFonts w:ascii="Arial" w:cs="Arial" w:eastAsia="Arial" w:hAnsi="Arial"/>
          <w:b/>
          <w:bCs/>
          <w:color w:val="2E75B6"/>
          <w:sz w:val="24"/>
          <w:szCs w:val="24"/>
        </w:rPr>
        <w:t xml:space="preserve">2.3 Statistical Tools and Framework</w:t>
      </w:r>
    </w:p>
    <w:p>
      <w:pPr>
        <w:spacing w:after="140" w:before="0" w:line="360"/>
        <w:jc w:val="both"/>
      </w:pPr>
      <w:r>
        <w:rPr>
          <w:rFonts w:ascii="Arial" w:cs="Arial" w:eastAsia="Arial" w:hAnsi="Arial"/>
          <w:sz w:val="22"/>
          <w:szCs w:val="22"/>
        </w:rPr>
        <w:t xml:space="preserve">All statistical computations were performed using the following Python libraries: Pandas (data manipulation), NumPy (array operations), SciPy (inferential statistics via scipy.stats.linregress), and Matplotlib/Seaborn (visualisation). The Pearson product-moment correlation coefficient (r) quantifies the strength and direction of a linear association between two continuous variables, assuming bivariate normality and homoscedasticity. The coefficient of determination (R² = r²) represents the proportion of variance in the dependent variable explained by the independent variable. Statistical significance was assessed at α = 0.05.</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3. Results</w:t>
      </w:r>
    </w:p>
    <w:p>
      <w:pPr>
        <w:pStyle w:val="Heading2"/>
        <w:spacing w:after="100" w:before="280"/>
      </w:pPr>
      <w:r>
        <w:rPr>
          <w:rFonts w:ascii="Arial" w:cs="Arial" w:eastAsia="Arial" w:hAnsi="Arial"/>
          <w:b/>
          <w:bCs/>
          <w:color w:val="2E75B6"/>
          <w:sz w:val="24"/>
          <w:szCs w:val="24"/>
        </w:rPr>
        <w:t xml:space="preserve">3.1 Descriptive Statistics</w:t>
      </w:r>
    </w:p>
    <w:p>
      <w:pPr>
        <w:spacing w:after="140" w:before="0" w:line="360"/>
        <w:jc w:val="both"/>
      </w:pPr>
      <w:r>
        <w:rPr>
          <w:rFonts w:ascii="Arial" w:cs="Arial" w:eastAsia="Arial" w:hAnsi="Arial"/>
          <w:sz w:val="22"/>
          <w:szCs w:val="22"/>
        </w:rPr>
        <w:t xml:space="preserve">Table 2 presents summary descriptive statistics for all primary variables across the 359-day observation period.</w:t>
      </w:r>
    </w:p>
    <w:p>
      <w:pPr>
        <w:spacing w:after="80" w:before="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900"/>
        <w:gridCol w:w="800"/>
        <w:gridCol w:w="800"/>
        <w:gridCol w:w="1000"/>
        <w:gridCol w:w="15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Variable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Min</w:t>
            </w:r>
          </w:p>
        </w:tc>
        <w:tc>
          <w:tcPr>
            <w:tcW w:type="dxa" w:w="9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Max</w:t>
            </w:r>
          </w:p>
        </w:tc>
        <w:tc>
          <w:tcPr>
            <w:tcW w:type="dxa" w:w="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Mean</w:t>
            </w:r>
          </w:p>
        </w:tc>
        <w:tc>
          <w:tcPr>
            <w:tcW w:type="dxa" w:w="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Median</w:t>
            </w:r>
          </w:p>
        </w:tc>
        <w:tc>
          <w:tcPr>
            <w:tcW w:type="dxa" w:w="1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Unit</w:t>
            </w:r>
          </w:p>
        </w:tc>
        <w:tc>
          <w:tcPr>
            <w:tcW w:type="dxa" w:w="15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Data Status</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AQI</w:t>
            </w:r>
          </w:p>
        </w:tc>
        <w:tc>
          <w:tcPr>
            <w:tcW w:type="dxa" w:w="7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11</w:t>
            </w:r>
          </w:p>
        </w:tc>
        <w:tc>
          <w:tcPr>
            <w:tcW w:type="dxa" w:w="9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242</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52.7</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36</w:t>
            </w:r>
          </w:p>
        </w:tc>
        <w:tc>
          <w:tcPr>
            <w:tcW w:type="dxa" w:w="1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t>
            </w:r>
          </w:p>
        </w:tc>
        <w:tc>
          <w:tcPr>
            <w:tcW w:type="dxa" w:w="1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Real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PM2.5 Concentration</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2.64</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191.87</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17.73</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8.88</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μg/m³</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Real</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Total Respiratory Visits</w:t>
            </w:r>
          </w:p>
        </w:tc>
        <w:tc>
          <w:tcPr>
            <w:tcW w:type="dxa" w:w="7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150</w:t>
            </w:r>
          </w:p>
        </w:tc>
        <w:tc>
          <w:tcPr>
            <w:tcW w:type="dxa" w:w="9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500</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318.1</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320</w:t>
            </w:r>
          </w:p>
        </w:tc>
        <w:tc>
          <w:tcPr>
            <w:tcW w:type="dxa" w:w="1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visits/day</w:t>
            </w:r>
          </w:p>
        </w:tc>
        <w:tc>
          <w:tcPr>
            <w:tcW w:type="dxa" w:w="1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Synthetic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Pneumonia Cases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34</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157</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79.6</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79</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cases/day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Synthetic</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Asthma Cases</w:t>
            </w:r>
          </w:p>
        </w:tc>
        <w:tc>
          <w:tcPr>
            <w:tcW w:type="dxa" w:w="7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44</w:t>
            </w:r>
          </w:p>
        </w:tc>
        <w:tc>
          <w:tcPr>
            <w:tcW w:type="dxa" w:w="9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166</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97.6</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95</w:t>
            </w:r>
          </w:p>
        </w:tc>
        <w:tc>
          <w:tcPr>
            <w:tcW w:type="dxa" w:w="1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cases/day</w:t>
            </w:r>
          </w:p>
        </w:tc>
        <w:tc>
          <w:tcPr>
            <w:tcW w:type="dxa" w:w="1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Synthetic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COPD Cases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88</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48.7</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47</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cases/day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Synthetic</w:t>
            </w:r>
          </w:p>
        </w:tc>
      </w:tr>
      <w:tr>
        <w:tc>
          <w:tcPr>
            <w:tcW w:type="dxa" w:w="2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Bronchitis Cases</w:t>
            </w:r>
          </w:p>
        </w:tc>
        <w:tc>
          <w:tcPr>
            <w:tcW w:type="dxa" w:w="7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21</w:t>
            </w:r>
          </w:p>
        </w:tc>
        <w:tc>
          <w:tcPr>
            <w:tcW w:type="dxa" w:w="9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105</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64.7</w:t>
            </w:r>
          </w:p>
        </w:tc>
        <w:tc>
          <w:tcPr>
            <w:tcW w:type="dxa" w:w="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65</w:t>
            </w:r>
          </w:p>
        </w:tc>
        <w:tc>
          <w:tcPr>
            <w:tcW w:type="dxa" w:w="1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cases/day</w:t>
            </w:r>
          </w:p>
        </w:tc>
        <w:tc>
          <w:tcPr>
            <w:tcW w:type="dxa" w:w="1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Synthetic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Other Respiratory Cases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16</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60</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28.1</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28</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cases/day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Synthetic</w:t>
            </w:r>
          </w:p>
        </w:tc>
      </w:tr>
    </w:tbl>
    <w:p>
      <w:pPr>
        <w:spacing w:after="180" w:before="60"/>
        <w:jc w:val="center"/>
      </w:pPr>
      <w:r>
        <w:rPr>
          <w:rFonts w:ascii="Arial" w:cs="Arial" w:eastAsia="Arial" w:hAnsi="Arial"/>
          <w:i/>
          <w:iCs/>
          <w:color w:val="595959"/>
          <w:sz w:val="18"/>
          <w:szCs w:val="18"/>
        </w:rPr>
        <w:t xml:space="preserve">Table 2. Descriptive statistics for all study variables (n = 359). Real AQI and PM2.5 data; health visit data are synthetic.</w:t>
      </w:r>
    </w:p>
    <w:p>
      <w:pPr>
        <w:pStyle w:val="Heading2"/>
        <w:spacing w:after="100" w:before="280"/>
      </w:pPr>
      <w:r>
        <w:rPr>
          <w:rFonts w:ascii="Arial" w:cs="Arial" w:eastAsia="Arial" w:hAnsi="Arial"/>
          <w:b/>
          <w:bCs/>
          <w:color w:val="2E75B6"/>
          <w:sz w:val="24"/>
          <w:szCs w:val="24"/>
        </w:rPr>
        <w:t xml:space="preserve">3.2 AQI Category Distribution (Figure 1 Data)</w:t>
      </w:r>
    </w:p>
    <w:p>
      <w:pPr>
        <w:spacing w:after="140" w:before="0" w:line="360"/>
        <w:jc w:val="both"/>
      </w:pPr>
      <w:r>
        <w:rPr>
          <w:rFonts w:ascii="Arial" w:cs="Arial" w:eastAsia="Arial" w:hAnsi="Arial"/>
          <w:sz w:val="22"/>
          <w:szCs w:val="22"/>
        </w:rPr>
        <w:t xml:space="preserve">Table 3 presents the frequency distribution across EPA AQI categories. The dominance of ‘Good’ AQI conditions (65.7%) reflects extended monsoon season precipitation scavenging. Winter months contribute disproportionately to elevated categories.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800"/>
        <w:gridCol w:w="1000"/>
        <w:gridCol w:w="446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AQI Category</w:t>
            </w:r>
          </w:p>
        </w:tc>
        <w:tc>
          <w:tcPr>
            <w:tcW w:type="dxa" w:w="11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Range</w:t>
            </w:r>
          </w:p>
        </w:tc>
        <w:tc>
          <w:tcPr>
            <w:tcW w:type="dxa" w:w="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Days</w:t>
            </w:r>
          </w:p>
        </w:tc>
        <w:tc>
          <w:tcPr>
            <w:tcW w:type="dxa" w:w="1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Proportion</w:t>
            </w:r>
          </w:p>
        </w:tc>
        <w:tc>
          <w:tcPr>
            <w:tcW w:type="dxa" w:w="44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WHO Health Guidance</w:t>
            </w:r>
          </w:p>
        </w:tc>
      </w:tr>
      <w:tr>
        <w:tc>
          <w:tcPr>
            <w:tcW w:type="dxa" w:w="20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bCs/>
                <w:color w:val="1A6B3C"/>
                <w:sz w:val="19"/>
                <w:szCs w:val="19"/>
              </w:rPr>
              <w:t xml:space="preserve">Good</w:t>
            </w:r>
          </w:p>
        </w:tc>
        <w:tc>
          <w:tcPr>
            <w:tcW w:type="dxa" w:w="11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0–50</w:t>
            </w:r>
          </w:p>
        </w:tc>
        <w:tc>
          <w:tcPr>
            <w:tcW w:type="dxa" w:w="8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236</w:t>
            </w:r>
          </w:p>
        </w:tc>
        <w:tc>
          <w:tcPr>
            <w:tcW w:type="dxa" w:w="10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65.7%</w:t>
            </w:r>
          </w:p>
        </w:tc>
        <w:tc>
          <w:tcPr>
            <w:tcW w:type="dxa" w:w="44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No health risk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7B5E00"/>
                <w:sz w:val="19"/>
                <w:szCs w:val="19"/>
              </w:rPr>
              <w:t xml:space="preserve">Moderate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51–100</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20.3%</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Acceptable for most</w:t>
            </w:r>
          </w:p>
        </w:tc>
      </w:tr>
      <w:tr>
        <w:tc>
          <w:tcPr>
            <w:tcW w:type="dxa" w:w="20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bCs/>
                <w:color w:val="C55A11"/>
                <w:sz w:val="19"/>
                <w:szCs w:val="19"/>
              </w:rPr>
              <w:t xml:space="preserve">USG</w:t>
            </w:r>
          </w:p>
        </w:tc>
        <w:tc>
          <w:tcPr>
            <w:tcW w:type="dxa" w:w="11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101–150</w:t>
            </w:r>
          </w:p>
        </w:tc>
        <w:tc>
          <w:tcPr>
            <w:tcW w:type="dxa" w:w="8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28</w:t>
            </w:r>
          </w:p>
        </w:tc>
        <w:tc>
          <w:tcPr>
            <w:tcW w:type="dxa" w:w="10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7.8%</w:t>
            </w:r>
          </w:p>
        </w:tc>
        <w:tc>
          <w:tcPr>
            <w:tcW w:type="dxa" w:w="44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Sensitive groups at risk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8B1A1A"/>
                <w:sz w:val="19"/>
                <w:szCs w:val="19"/>
              </w:rPr>
              <w:t xml:space="preserve">Unhealthy</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151–200</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5.6%</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General population affected</w:t>
            </w:r>
          </w:p>
        </w:tc>
      </w:tr>
      <w:tr>
        <w:tc>
          <w:tcPr>
            <w:tcW w:type="dxa" w:w="20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bCs/>
                <w:color w:val="5C1E5C"/>
                <w:sz w:val="19"/>
                <w:szCs w:val="19"/>
              </w:rPr>
              <w:t xml:space="preserve">V.Unhealthy</w:t>
            </w:r>
          </w:p>
        </w:tc>
        <w:tc>
          <w:tcPr>
            <w:tcW w:type="dxa" w:w="11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201–300</w:t>
            </w:r>
          </w:p>
        </w:tc>
        <w:tc>
          <w:tcPr>
            <w:tcW w:type="dxa" w:w="8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w:t>
            </w:r>
          </w:p>
        </w:tc>
        <w:tc>
          <w:tcPr>
            <w:tcW w:type="dxa" w:w="10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0.6%</w:t>
            </w:r>
          </w:p>
        </w:tc>
        <w:tc>
          <w:tcPr>
            <w:tcW w:type="dxa" w:w="44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Health alerts; serious effects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Hazardous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&gt;300</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0.0%</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Emergency conditions</w:t>
            </w:r>
          </w:p>
        </w:tc>
      </w:tr>
    </w:tbl>
    <w:p>
      <w:pPr>
        <w:spacing w:after="180" w:before="60"/>
        <w:jc w:val="center"/>
      </w:pPr>
      <w:r>
        <w:rPr>
          <w:rFonts w:ascii="Arial" w:cs="Arial" w:eastAsia="Arial" w:hAnsi="Arial"/>
          <w:i/>
          <w:iCs/>
          <w:color w:val="595959"/>
          <w:sz w:val="18"/>
          <w:szCs w:val="18"/>
        </w:rPr>
        <w:t xml:space="preserve">Table 3. AQI category distribution (n = 359 days). Figure 1 — Donut chart — visualises these proportions with colour-coded segments.</w:t>
      </w:r>
    </w:p>
    <w:p>
      <w:pPr>
        <w:pStyle w:val="Heading2"/>
        <w:spacing w:after="100" w:before="280"/>
      </w:pPr>
      <w:r>
        <w:rPr>
          <w:rFonts w:ascii="Arial" w:cs="Arial" w:eastAsia="Arial" w:hAnsi="Arial"/>
          <w:b/>
          <w:bCs/>
          <w:color w:val="2E75B6"/>
          <w:sz w:val="24"/>
          <w:szCs w:val="24"/>
        </w:rPr>
        <w:t xml:space="preserve">3.3 Monthly Mean AQI Profile (Figure 2 Data)</w:t>
      </w:r>
    </w:p>
    <w:p>
      <w:pPr>
        <w:spacing w:after="140" w:before="0" w:line="360"/>
        <w:jc w:val="both"/>
      </w:pPr>
      <w:r>
        <w:rPr>
          <w:rFonts w:ascii="Arial" w:cs="Arial" w:eastAsia="Arial" w:hAnsi="Arial"/>
          <w:sz w:val="22"/>
          <w:szCs w:val="22"/>
        </w:rPr>
        <w:t xml:space="preserve">Table 4 presents the monthly mean AQI across 2025, illustrating the extreme seasonal pattern. The monsoon-driven summer minimum and winter smog peak are the defining features of the annual pollution cycle at Simara.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2000"/>
        <w:gridCol w:w="3560"/>
      </w:tblGrid>
      <w:tr>
        <w:trPr>
          <w:tblHeader/>
        </w:trPr>
        <w:tc>
          <w:tcPr>
            <w:tcW w:type="dxa" w:w="13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Month</w:t>
            </w:r>
          </w:p>
        </w:tc>
        <w:tc>
          <w:tcPr>
            <w:tcW w:type="dxa" w:w="11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Mean AQI</w:t>
            </w:r>
          </w:p>
        </w:tc>
        <w:tc>
          <w:tcPr>
            <w:tcW w:type="dxa" w:w="1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Season</w:t>
            </w:r>
          </w:p>
        </w:tc>
        <w:tc>
          <w:tcPr>
            <w:tcW w:type="dxa" w:w="2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Dominant Category</w:t>
            </w:r>
          </w:p>
        </w:tc>
        <w:tc>
          <w:tcPr>
            <w:tcW w:type="dxa" w:w="35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PM2.5 Status vs WHO</w:t>
            </w:r>
          </w:p>
        </w:tc>
      </w:tr>
      <w:tr>
        <w:tc>
          <w:tcPr>
            <w:tcW w:type="dxa" w:w="1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January</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64.5</w:t>
            </w:r>
          </w:p>
        </w:tc>
        <w:tc>
          <w:tcPr>
            <w:tcW w:type="dxa" w:w="1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Winter</w:t>
            </w:r>
          </w:p>
        </w:tc>
        <w:tc>
          <w:tcPr>
            <w:tcW w:type="dxa" w:w="2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Moderate</w:t>
            </w:r>
          </w:p>
        </w:tc>
        <w:tc>
          <w:tcPr>
            <w:tcW w:type="dxa" w:w="3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4.3× WHO annual mean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February</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54.9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Winter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7B5E00"/>
                <w:sz w:val="19"/>
                <w:szCs w:val="19"/>
              </w:rPr>
              <w:t xml:space="preserve">Moderate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3.7× WHO annual mean</w:t>
            </w:r>
          </w:p>
        </w:tc>
      </w:tr>
      <w:tr>
        <w:tc>
          <w:tcPr>
            <w:tcW w:type="dxa" w:w="1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March</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43.2</w:t>
            </w:r>
          </w:p>
        </w:tc>
        <w:tc>
          <w:tcPr>
            <w:tcW w:type="dxa" w:w="1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Spring</w:t>
            </w:r>
          </w:p>
        </w:tc>
        <w:tc>
          <w:tcPr>
            <w:tcW w:type="dxa" w:w="2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 WHO annual mean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April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37.0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Spring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2.5× WHO annual mean</w:t>
            </w:r>
          </w:p>
        </w:tc>
      </w:tr>
      <w:tr>
        <w:tc>
          <w:tcPr>
            <w:tcW w:type="dxa" w:w="1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May</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29.8</w:t>
            </w:r>
          </w:p>
        </w:tc>
        <w:tc>
          <w:tcPr>
            <w:tcW w:type="dxa" w:w="1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Spring</w:t>
            </w:r>
          </w:p>
        </w:tc>
        <w:tc>
          <w:tcPr>
            <w:tcW w:type="dxa" w:w="2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 WHO annual mean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June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Monsoon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 WHO annual mean</w:t>
            </w:r>
          </w:p>
        </w:tc>
      </w:tr>
      <w:tr>
        <w:tc>
          <w:tcPr>
            <w:tcW w:type="dxa" w:w="1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July</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18.3</w:t>
            </w:r>
          </w:p>
        </w:tc>
        <w:tc>
          <w:tcPr>
            <w:tcW w:type="dxa" w:w="1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Monsoon</w:t>
            </w:r>
          </w:p>
        </w:tc>
        <w:tc>
          <w:tcPr>
            <w:tcW w:type="dxa" w:w="2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1.2× WHO annual mean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August</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Monsoon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1.4× WHO annual mean</w:t>
            </w:r>
          </w:p>
        </w:tc>
      </w:tr>
      <w:tr>
        <w:tc>
          <w:tcPr>
            <w:tcW w:type="dxa" w:w="1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September</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23.0</w:t>
            </w:r>
          </w:p>
        </w:tc>
        <w:tc>
          <w:tcPr>
            <w:tcW w:type="dxa" w:w="1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Post-Monsoon</w:t>
            </w:r>
          </w:p>
        </w:tc>
        <w:tc>
          <w:tcPr>
            <w:tcW w:type="dxa" w:w="2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 WHO annual mean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October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Post-Monsoon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2.8× WHO annual mean</w:t>
            </w:r>
          </w:p>
        </w:tc>
      </w:tr>
      <w:tr>
        <w:tc>
          <w:tcPr>
            <w:tcW w:type="dxa" w:w="1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November</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116.6</w:t>
            </w:r>
          </w:p>
        </w:tc>
        <w:tc>
          <w:tcPr>
            <w:tcW w:type="dxa" w:w="14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Winter</w:t>
            </w:r>
          </w:p>
        </w:tc>
        <w:tc>
          <w:tcPr>
            <w:tcW w:type="dxa" w:w="20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USG</w:t>
            </w:r>
          </w:p>
        </w:tc>
        <w:tc>
          <w:tcPr>
            <w:tcW w:type="dxa" w:w="35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7.8× WHO annual mean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December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151.1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Winter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Unhealthy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10.1× WHO annual mean</w:t>
            </w:r>
          </w:p>
        </w:tc>
      </w:tr>
    </w:tbl>
    <w:p>
      <w:pPr>
        <w:spacing w:after="180" w:before="60"/>
        <w:jc w:val="center"/>
      </w:pPr>
      <w:r>
        <w:rPr>
          <w:rFonts w:ascii="Arial" w:cs="Arial" w:eastAsia="Arial" w:hAnsi="Arial"/>
          <w:i/>
          <w:iCs/>
          <w:color w:val="595959"/>
          <w:sz w:val="18"/>
          <w:szCs w:val="18"/>
        </w:rPr>
        <w:t xml:space="preserve">Table 4. Monthly mean AQI and season classification. Figure 2 — Monthly Bar Chart — colour-codes each bar by AQI category. WHO annual mean guideline: 5 μg/m³.</w:t>
      </w:r>
    </w:p>
    <w:p>
      <w:pPr>
        <w:pStyle w:val="Heading2"/>
        <w:spacing w:after="100" w:before="280"/>
      </w:pPr>
      <w:r>
        <w:rPr>
          <w:rFonts w:ascii="Arial" w:cs="Arial" w:eastAsia="Arial" w:hAnsi="Arial"/>
          <w:b/>
          <w:bCs/>
          <w:color w:val="2E75B6"/>
          <w:sz w:val="24"/>
          <w:szCs w:val="24"/>
        </w:rPr>
        <w:t xml:space="preserve">3.4 Seasonal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2160"/>
        <w:gridCol w:w="2300"/>
      </w:tblGrid>
      <w:tr>
        <w:trPr>
          <w:tblHeader/>
        </w:trPr>
        <w:tc>
          <w:tcPr>
            <w:tcW w:type="dxa" w:w="15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Season</w:t>
            </w:r>
          </w:p>
        </w:tc>
        <w:tc>
          <w:tcPr>
            <w:tcW w:type="dxa" w:w="2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Months</w:t>
            </w:r>
          </w:p>
        </w:tc>
        <w:tc>
          <w:tcPr>
            <w:tcW w:type="dxa" w:w="1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Mean AQI</w:t>
            </w:r>
          </w:p>
        </w:tc>
        <w:tc>
          <w:tcPr>
            <w:tcW w:type="dxa" w:w="21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Mean PM2.5 (μg/m³)</w:t>
            </w:r>
          </w:p>
        </w:tc>
        <w:tc>
          <w:tcPr>
            <w:tcW w:type="dxa" w:w="23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Dominant Category</w:t>
            </w:r>
          </w:p>
        </w:tc>
      </w:tr>
      <w:tr>
        <w:tc>
          <w:tcPr>
            <w:tcW w:type="dxa" w:w="15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Winter</w:t>
            </w:r>
          </w:p>
        </w:tc>
        <w:tc>
          <w:tcPr>
            <w:tcW w:type="dxa" w:w="2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Nov, Dec, Jan, Feb</w:t>
            </w:r>
          </w:p>
        </w:tc>
        <w:tc>
          <w:tcPr>
            <w:tcW w:type="dxa" w:w="1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97.4</w:t>
            </w:r>
          </w:p>
        </w:tc>
        <w:tc>
          <w:tcPr>
            <w:tcW w:type="dxa" w:w="21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33.9</w:t>
            </w:r>
          </w:p>
        </w:tc>
        <w:tc>
          <w:tcPr>
            <w:tcW w:type="dxa" w:w="2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Moderate–USG</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Spring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Mar, Apr, May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36.7</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9.9</w:t>
            </w:r>
          </w:p>
        </w:tc>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r>
      <w:tr>
        <w:tc>
          <w:tcPr>
            <w:tcW w:type="dxa" w:w="15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Summer/Monsoon</w:t>
            </w:r>
          </w:p>
        </w:tc>
        <w:tc>
          <w:tcPr>
            <w:tcW w:type="dxa" w:w="2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Jun, Jul, Aug</w:t>
            </w:r>
          </w:p>
        </w:tc>
        <w:tc>
          <w:tcPr>
            <w:tcW w:type="dxa" w:w="1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22.7</w:t>
            </w:r>
          </w:p>
        </w:tc>
        <w:tc>
          <w:tcPr>
            <w:tcW w:type="dxa" w:w="21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5.2</w:t>
            </w:r>
          </w:p>
        </w:tc>
        <w:tc>
          <w:tcPr>
            <w:tcW w:type="dxa" w:w="23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Autumn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Sep, Oct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31.0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6.9</w:t>
            </w:r>
          </w:p>
        </w:tc>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Good</w:t>
            </w:r>
          </w:p>
        </w:tc>
      </w:tr>
    </w:tbl>
    <w:p>
      <w:pPr>
        <w:spacing w:after="180" w:before="60"/>
        <w:jc w:val="center"/>
      </w:pPr>
      <w:r>
        <w:rPr>
          <w:rFonts w:ascii="Arial" w:cs="Arial" w:eastAsia="Arial" w:hAnsi="Arial"/>
          <w:i/>
          <w:iCs/>
          <w:color w:val="595959"/>
          <w:sz w:val="18"/>
          <w:szCs w:val="18"/>
        </w:rPr>
        <w:t xml:space="preserve">Table 5. Seasonal AQI and PM2.5 summary. Winter mean AQI is 4.3× the summer mean.</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4. Correlation &amp; Regression Analysis</w:t>
      </w:r>
    </w:p>
    <w:p>
      <w:pPr>
        <w:pStyle w:val="Heading2"/>
        <w:spacing w:after="100" w:before="280"/>
      </w:pPr>
      <w:r>
        <w:rPr>
          <w:rFonts w:ascii="Arial" w:cs="Arial" w:eastAsia="Arial" w:hAnsi="Arial"/>
          <w:b/>
          <w:bCs/>
          <w:color w:val="2E75B6"/>
          <w:sz w:val="24"/>
          <w:szCs w:val="24"/>
        </w:rPr>
        <w:t xml:space="preserve">4.1 PM2.5 versus AQI (Figure 6 Data — Real Data)</w:t>
      </w:r>
    </w:p>
    <w:p>
      <w:pPr>
        <w:spacing w:after="140" w:before="0" w:line="360"/>
        <w:jc w:val="both"/>
      </w:pPr>
      <w:r>
        <w:rPr>
          <w:rFonts w:ascii="Arial" w:cs="Arial" w:eastAsia="Arial" w:hAnsi="Arial"/>
          <w:sz w:val="22"/>
          <w:szCs w:val="22"/>
        </w:rPr>
        <w:t xml:space="preserve">The correlation between PM2.5 concentration and AQI yielded r = 0.9376 (R² = 0.8791, p = 6.96 × 10⁻¹⁶⁶, n = 359). This constitutes an exceptionally strong positive linear relationship: PM2.5 concentration accounts for 87.91% of observed AQI variance at Simara. The regression equation is estimated as:</w:t>
      </w:r>
    </w:p>
    <w:p>
      <w:pPr>
        <w:spacing w:after="80" w:before="0"/>
      </w:pPr>
      <w:r>
        <w:t xml:space="preserve"/>
      </w:r>
    </w:p>
    <w:p>
      <w:pPr>
        <w:pBdr>
          <w:left w:val="single" w:color="2E75B6" w:sz="20" w:space="8"/>
        </w:pBdr>
        <w:shd w:fill="F0F4FA" w:val="clear"/>
        <w:spacing w:after="120" w:before="120" w:line="360"/>
        <w:ind w:left="360" w:right="360"/>
        <w:jc w:val="both"/>
      </w:pPr>
      <w:r>
        <w:rPr>
          <w:rFonts w:ascii="Arial" w:cs="Arial" w:eastAsia="Arial" w:hAnsi="Arial"/>
          <w:i/>
          <w:iCs/>
          <w:color w:val="1F3864"/>
          <w:sz w:val="22"/>
          <w:szCs w:val="22"/>
        </w:rPr>
        <w:t xml:space="preserve">AQI = 1.793 × PM2.5 + 20.12</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960"/>
        <w:gridCol w:w="220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Analysis</w:t>
            </w:r>
          </w:p>
        </w:tc>
        <w:tc>
          <w:tcPr>
            <w:tcW w:type="dxa" w:w="1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Pearson r</w:t>
            </w:r>
          </w:p>
        </w:tc>
        <w:tc>
          <w:tcPr>
            <w:tcW w:type="dxa" w:w="1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R²</w:t>
            </w:r>
          </w:p>
        </w:tc>
        <w:tc>
          <w:tcPr>
            <w:tcW w:type="dxa" w:w="19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p-value</w:t>
            </w:r>
          </w:p>
        </w:tc>
        <w:tc>
          <w:tcPr>
            <w:tcW w:type="dxa" w:w="2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Interpretation</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PM2.5 → AQI</w:t>
            </w:r>
          </w:p>
        </w:tc>
        <w:tc>
          <w:tcPr>
            <w:tcW w:type="dxa" w:w="1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0.9376</w:t>
            </w:r>
          </w:p>
        </w:tc>
        <w:tc>
          <w:tcPr>
            <w:tcW w:type="dxa" w:w="1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0.8791</w:t>
            </w:r>
          </w:p>
        </w:tc>
        <w:tc>
          <w:tcPr>
            <w:tcW w:type="dxa" w:w="1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6.96 × 10⁻¹⁶⁶</w:t>
            </w:r>
          </w:p>
        </w:tc>
        <w:tc>
          <w:tcPr>
            <w:tcW w:type="dxa" w:w="2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Very strong positive (Real)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AQI → Total Visits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0.2449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0.0600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2.65 × 10⁻⁶</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Weak positive (Synthetic)</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PM2.5 → Total Visits</w:t>
            </w:r>
          </w:p>
        </w:tc>
        <w:tc>
          <w:tcPr>
            <w:tcW w:type="dxa" w:w="1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0.2606</w:t>
            </w:r>
          </w:p>
        </w:tc>
        <w:tc>
          <w:tcPr>
            <w:tcW w:type="dxa" w:w="1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0.0679</w:t>
            </w:r>
          </w:p>
        </w:tc>
        <w:tc>
          <w:tcPr>
            <w:tcW w:type="dxa" w:w="1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5.55 × 10⁻⁷</w:t>
            </w:r>
          </w:p>
        </w:tc>
        <w:tc>
          <w:tcPr>
            <w:tcW w:type="dxa" w:w="22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Weak positive (Synthetic)</w:t>
            </w:r>
          </w:p>
        </w:tc>
      </w:tr>
    </w:tbl>
    <w:p>
      <w:pPr>
        <w:spacing w:after="180" w:before="60"/>
        <w:jc w:val="center"/>
      </w:pPr>
      <w:r>
        <w:rPr>
          <w:rFonts w:ascii="Arial" w:cs="Arial" w:eastAsia="Arial" w:hAnsi="Arial"/>
          <w:i/>
          <w:iCs/>
          <w:color w:val="595959"/>
          <w:sz w:val="18"/>
          <w:szCs w:val="18"/>
        </w:rPr>
        <w:t xml:space="preserve">Table 6. Summary of all Pearson correlation and OLS regression results. Health visit correlations use synthetic data.</w:t>
      </w:r>
    </w:p>
    <w:p>
      <w:pPr>
        <w:pStyle w:val="Heading2"/>
        <w:spacing w:after="100" w:before="280"/>
      </w:pPr>
      <w:r>
        <w:rPr>
          <w:rFonts w:ascii="Arial" w:cs="Arial" w:eastAsia="Arial" w:hAnsi="Arial"/>
          <w:b/>
          <w:bCs/>
          <w:color w:val="2E75B6"/>
          <w:sz w:val="24"/>
          <w:szCs w:val="24"/>
        </w:rPr>
        <w:t xml:space="preserve">4.2 Significance of the p-value</w:t>
      </w:r>
    </w:p>
    <w:p>
      <w:pPr>
        <w:spacing w:after="140" w:before="0" w:line="360"/>
        <w:jc w:val="both"/>
      </w:pPr>
      <w:r>
        <w:rPr>
          <w:rFonts w:ascii="Arial" w:cs="Arial" w:eastAsia="Arial" w:hAnsi="Arial"/>
          <w:sz w:val="22"/>
          <w:szCs w:val="22"/>
        </w:rPr>
        <w:t xml:space="preserve">The p-value for the PM2.5→AQI correlation is 6.96 × 10⁻¹⁶⁶ — astronomically smaller than any reasonable α threshold. This decisively rejects the null hypothesis H₀. In plain terms: the probability that a correlation of r = 0.9376 would arise by chance in a sample of 359 observations from a population with no true relationship is vanishingly small.</w:t>
      </w:r>
    </w:p>
    <w:p>
      <w:pPr>
        <w:spacing w:after="140" w:before="0" w:line="360"/>
        <w:jc w:val="both"/>
      </w:pPr>
      <w:r>
        <w:rPr>
          <w:rFonts w:ascii="Arial" w:cs="Arial" w:eastAsia="Arial" w:hAnsi="Arial"/>
          <w:sz w:val="22"/>
          <w:szCs w:val="22"/>
        </w:rPr>
        <w:t xml:space="preserve">For the AQI→Visits correlation (r = 0.2449, p = 2.65 × 10⁻⁶), H₀ is also decisively rejected. However, the modest R² of 0.0600 indicates that AQI explains only 6.0% of the variability in daily hospital visits, with the remaining 94.0% attributable to confounders including day-of-week effects, seasonal viral infections, and the inherent noise in the synthetic health data generation process.</w:t>
      </w:r>
    </w:p>
    <w:p>
      <w:pPr>
        <w:pStyle w:val="Heading2"/>
        <w:spacing w:after="100" w:before="280"/>
      </w:pPr>
      <w:r>
        <w:rPr>
          <w:rFonts w:ascii="Arial" w:cs="Arial" w:eastAsia="Arial" w:hAnsi="Arial"/>
          <w:b/>
          <w:bCs/>
          <w:color w:val="2E75B6"/>
          <w:sz w:val="24"/>
          <w:szCs w:val="24"/>
        </w:rPr>
        <w:t xml:space="preserve">4.3 Scatter Plot Description (Figure 6)</w:t>
      </w:r>
    </w:p>
    <w:p>
      <w:pPr>
        <w:spacing w:after="140" w:before="0" w:line="360"/>
        <w:jc w:val="both"/>
      </w:pPr>
      <w:r>
        <w:rPr>
          <w:rFonts w:ascii="Arial" w:cs="Arial" w:eastAsia="Arial" w:hAnsi="Arial"/>
          <w:sz w:val="22"/>
          <w:szCs w:val="22"/>
        </w:rPr>
        <w:t xml:space="preserve">The PM2.5 vs AQI scatter plot reveals a strong, positive, and predominantly linear relationship across the observed PM2.5 range of 2.64 to 191.87 μg/m³. Data points are colour-coded by AQI category: green (Good, ≤50), amber (Moderate, 51–100), orange (USG, 101–150), dark red (Unhealthy, 151–200), and purple (Very Unhealthy, &gt;200). The superimposed OLS regression line (dashed) demonstrates a tight fit, with minor scatter broadening at extreme high-pollution values. Two outlier points at the upper extreme (AQI 242 and 210, December 2025) are clearly visible in the purple cluster and correspond to PM2.5 readings of 191.87 and 159.58 μg/m³ respectively. A statistical annotation box displays r = 0.9376, R² = 0.8791, and p &lt; 0.0001.</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5. Chart and Heatmap Data</w:t>
      </w:r>
    </w:p>
    <w:p>
      <w:pPr>
        <w:pStyle w:val="Heading2"/>
        <w:spacing w:after="100" w:before="280"/>
      </w:pPr>
      <w:r>
        <w:rPr>
          <w:rFonts w:ascii="Arial" w:cs="Arial" w:eastAsia="Arial" w:hAnsi="Arial"/>
          <w:b/>
          <w:bCs/>
          <w:color w:val="2E75B6"/>
          <w:sz w:val="24"/>
          <w:szCs w:val="24"/>
        </w:rPr>
        <w:t xml:space="preserve">5.1 AQI Calendar Heatmap Description (Figure 5)</w:t>
      </w:r>
    </w:p>
    <w:p>
      <w:pPr>
        <w:spacing w:after="140" w:before="0" w:line="360"/>
        <w:jc w:val="both"/>
      </w:pPr>
      <w:r>
        <w:rPr>
          <w:rFonts w:ascii="Arial" w:cs="Arial" w:eastAsia="Arial" w:hAnsi="Arial"/>
          <w:sz w:val="22"/>
          <w:szCs w:val="22"/>
        </w:rPr>
        <w:t xml:space="preserve">The calendar heatmap displays all 359 daily AQI readings arranged in a month-by-day grid. Each cell is colour-coded by AQI category. Key visual patterns include:</w:t>
      </w:r>
    </w:p>
    <w:p>
      <w:pPr>
        <w:pStyle w:val="ListParagraph"/>
        <w:numPr>
          <w:ilvl w:val="0"/>
          <w:numId w:val="2"/>
        </w:numPr>
        <w:spacing w:after="80" w:before="40" w:line="320"/>
      </w:pPr>
      <w:r>
        <w:rPr>
          <w:rFonts w:ascii="Arial" w:cs="Arial" w:eastAsia="Arial" w:hAnsi="Arial"/>
          <w:b w:val="false"/>
          <w:bCs w:val="false"/>
          <w:sz w:val="22"/>
          <w:szCs w:val="22"/>
        </w:rPr>
        <w:t xml:space="preserve">January–February: Predominantly amber (Moderate) reflecting sustained winter pollution before the pre-monsoon transition.</w:t>
      </w:r>
    </w:p>
    <w:p>
      <w:pPr>
        <w:pStyle w:val="ListParagraph"/>
        <w:numPr>
          <w:ilvl w:val="0"/>
          <w:numId w:val="2"/>
        </w:numPr>
        <w:spacing w:after="80" w:before="40" w:line="320"/>
      </w:pPr>
      <w:r>
        <w:rPr>
          <w:rFonts w:ascii="Arial" w:cs="Arial" w:eastAsia="Arial" w:hAnsi="Arial"/>
          <w:b w:val="false"/>
          <w:bCs w:val="false"/>
          <w:sz w:val="22"/>
          <w:szCs w:val="22"/>
        </w:rPr>
        <w:t xml:space="preserve">March–May: Rapid transition to green (Good) as pre-monsoon winds increase atmospheric mixing.</w:t>
      </w:r>
    </w:p>
    <w:p>
      <w:pPr>
        <w:pStyle w:val="ListParagraph"/>
        <w:numPr>
          <w:ilvl w:val="0"/>
          <w:numId w:val="2"/>
        </w:numPr>
        <w:spacing w:after="80" w:before="40" w:line="320"/>
      </w:pPr>
      <w:r>
        <w:rPr>
          <w:rFonts w:ascii="Arial" w:cs="Arial" w:eastAsia="Arial" w:hAnsi="Arial"/>
          <w:b w:val="false"/>
          <w:bCs w:val="false"/>
          <w:sz w:val="22"/>
          <w:szCs w:val="22"/>
        </w:rPr>
        <w:t xml:space="preserve">June–September: Continuous green band reflecting monsoon wet scavenging. July registers the lowest values (mean AQI 18.3, minimum 15).</w:t>
      </w:r>
    </w:p>
    <w:p>
      <w:pPr>
        <w:pStyle w:val="ListParagraph"/>
        <w:numPr>
          <w:ilvl w:val="0"/>
          <w:numId w:val="2"/>
        </w:numPr>
        <w:spacing w:after="80" w:before="40" w:line="320"/>
      </w:pPr>
      <w:r>
        <w:rPr>
          <w:rFonts w:ascii="Arial" w:cs="Arial" w:eastAsia="Arial" w:hAnsi="Arial"/>
          <w:b w:val="false"/>
          <w:bCs w:val="false"/>
          <w:sz w:val="22"/>
          <w:szCs w:val="22"/>
        </w:rPr>
        <w:t xml:space="preserve">October: Mixed green/amber as the post-monsoon transition begins and boundary layer height decreases.</w:t>
      </w:r>
    </w:p>
    <w:p>
      <w:pPr>
        <w:pStyle w:val="ListParagraph"/>
        <w:numPr>
          <w:ilvl w:val="0"/>
          <w:numId w:val="2"/>
        </w:numPr>
        <w:spacing w:after="80" w:before="40" w:line="320"/>
      </w:pPr>
      <w:r>
        <w:rPr>
          <w:rFonts w:ascii="Arial" w:cs="Arial" w:eastAsia="Arial" w:hAnsi="Arial"/>
          <w:b w:val="false"/>
          <w:bCs w:val="false"/>
          <w:sz w:val="22"/>
          <w:szCs w:val="22"/>
        </w:rPr>
        <w:t xml:space="preserve">November: Sudden shift to orange and red (USG/Unhealthy) driven by post-harvest residue burning across the Indo-Gangetic Plain.</w:t>
      </w:r>
    </w:p>
    <w:p>
      <w:pPr>
        <w:pStyle w:val="ListParagraph"/>
        <w:numPr>
          <w:ilvl w:val="0"/>
          <w:numId w:val="2"/>
        </w:numPr>
        <w:spacing w:after="80" w:before="40" w:line="320"/>
      </w:pPr>
      <w:r>
        <w:rPr>
          <w:rFonts w:ascii="Arial" w:cs="Arial" w:eastAsia="Arial" w:hAnsi="Arial"/>
          <w:b w:val="false"/>
          <w:bCs w:val="false"/>
          <w:sz w:val="22"/>
          <w:szCs w:val="22"/>
        </w:rPr>
        <w:t xml:space="preserve">December: Dominant red/purple band peaking at AQI 242 on 7–8 December 2025, corresponding to PM2.5 of 191.87 μg/m³ — 12.8× the WHO 24-hour guideline.</w:t>
      </w:r>
    </w:p>
    <w:p>
      <w:pPr>
        <w:pStyle w:val="Heading2"/>
        <w:spacing w:after="100" w:before="280"/>
      </w:pPr>
      <w:r>
        <w:rPr>
          <w:rFonts w:ascii="Arial" w:cs="Arial" w:eastAsia="Arial" w:hAnsi="Arial"/>
          <w:b/>
          <w:bCs/>
          <w:color w:val="2E75B6"/>
          <w:sz w:val="24"/>
          <w:szCs w:val="24"/>
        </w:rPr>
        <w:t xml:space="preserve">5.2 Respiratory Case Breakdown by Month (Figure 3 Data — Synthetic)</w:t>
      </w:r>
    </w:p>
    <w:p>
      <w:pPr>
        <w:spacing w:after="140" w:before="0" w:line="360"/>
        <w:jc w:val="both"/>
      </w:pPr>
      <w:r>
        <w:rPr>
          <w:rFonts w:ascii="Arial" w:cs="Arial" w:eastAsia="Arial" w:hAnsi="Arial"/>
          <w:sz w:val="22"/>
          <w:szCs w:val="22"/>
        </w:rPr>
        <w:t xml:space="preserve">Table 7 presents monthly aggregated synthetic respiratory case counts disaggregated by condition. These values underpin the stacked bar chart (Figure 3).</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040"/>
        <w:gridCol w:w="1040"/>
        <w:gridCol w:w="1040"/>
        <w:gridCol w:w="1040"/>
        <w:gridCol w:w="1040"/>
        <w:gridCol w:w="1960"/>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Month</w:t>
            </w:r>
          </w:p>
        </w:tc>
        <w:tc>
          <w:tcPr>
            <w:tcW w:type="dxa" w:w="10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Pneumonia</w:t>
            </w:r>
          </w:p>
        </w:tc>
        <w:tc>
          <w:tcPr>
            <w:tcW w:type="dxa" w:w="10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Asthma</w:t>
            </w:r>
          </w:p>
        </w:tc>
        <w:tc>
          <w:tcPr>
            <w:tcW w:type="dxa" w:w="10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COPD</w:t>
            </w:r>
          </w:p>
        </w:tc>
        <w:tc>
          <w:tcPr>
            <w:tcW w:type="dxa" w:w="10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Bronchitis</w:t>
            </w:r>
          </w:p>
        </w:tc>
        <w:tc>
          <w:tcPr>
            <w:tcW w:type="dxa" w:w="10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Other</w:t>
            </w:r>
          </w:p>
        </w:tc>
        <w:tc>
          <w:tcPr>
            <w:tcW w:type="dxa" w:w="19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Total</w:t>
            </w:r>
          </w:p>
        </w:tc>
      </w:tr>
      <w:tr>
        <w:tc>
          <w:tcPr>
            <w:tcW w:type="dxa" w:w="12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Jan</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2,483</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3,097</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1,672</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2,261</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1,017</w:t>
            </w:r>
          </w:p>
        </w:tc>
        <w:tc>
          <w:tcPr>
            <w:tcW w:type="dxa" w:w="19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10,530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Feb</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2,144</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2,604</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1,383</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1,789</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882</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8,802</w:t>
            </w:r>
          </w:p>
        </w:tc>
      </w:tr>
      <w:tr>
        <w:tc>
          <w:tcPr>
            <w:tcW w:type="dxa" w:w="12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Mar</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2,015</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2,752</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1,329</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1,884</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862</w:t>
            </w:r>
          </w:p>
        </w:tc>
        <w:tc>
          <w:tcPr>
            <w:tcW w:type="dxa" w:w="19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8,842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Apr</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2,451</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3,034</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1,362</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2,103</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921</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9,871</w:t>
            </w:r>
          </w:p>
        </w:tc>
      </w:tr>
      <w:tr>
        <w:tc>
          <w:tcPr>
            <w:tcW w:type="dxa" w:w="12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May</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2,316</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2,914</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1,453</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1,853</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963</w:t>
            </w:r>
          </w:p>
        </w:tc>
        <w:tc>
          <w:tcPr>
            <w:tcW w:type="dxa" w:w="19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9,499</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Jun</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2,232</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2,820</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1,442</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1,901</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963</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9,358</w:t>
            </w:r>
          </w:p>
        </w:tc>
      </w:tr>
      <w:tr>
        <w:tc>
          <w:tcPr>
            <w:tcW w:type="dxa" w:w="12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Jul</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2,636</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2,962</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1,516</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2,089</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978</w:t>
            </w:r>
          </w:p>
        </w:tc>
        <w:tc>
          <w:tcPr>
            <w:tcW w:type="dxa" w:w="19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10,181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Aug</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2,543</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2,952</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1,464</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1,975</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963</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9,897</w:t>
            </w:r>
          </w:p>
        </w:tc>
      </w:tr>
      <w:tr>
        <w:tc>
          <w:tcPr>
            <w:tcW w:type="dxa" w:w="12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Sep</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2,131</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2,774</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1,344</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1,874</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900</w:t>
            </w:r>
          </w:p>
        </w:tc>
        <w:tc>
          <w:tcPr>
            <w:tcW w:type="dxa" w:w="19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9,023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Oct</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2,588</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2,910</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1,612</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1,955</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987</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10,052</w:t>
            </w:r>
          </w:p>
        </w:tc>
      </w:tr>
      <w:tr>
        <w:tc>
          <w:tcPr>
            <w:tcW w:type="dxa" w:w="120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Nov</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2,416</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2,953</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1,541</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1,812</w:t>
            </w:r>
          </w:p>
        </w:tc>
        <w:tc>
          <w:tcPr>
            <w:tcW w:type="dxa" w:w="104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895</w:t>
            </w:r>
          </w:p>
        </w:tc>
        <w:tc>
          <w:tcPr>
            <w:tcW w:type="dxa" w:w="1960"/>
            <w:tcBorders>
              <w:top w:val="single" w:color="DDDDDD" w:sz="1"/>
              <w:left w:val="single" w:color="DDDDDD" w:sz="1"/>
              <w:bottom w:val="single" w:color="DDDDDD" w:sz="1"/>
              <w:right w:val="single" w:color="DDDDDD" w:sz="1"/>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9,617</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Dec</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3,216</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3,892</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1,994</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2,523</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1,327</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12,952</w:t>
            </w:r>
          </w:p>
        </w:tc>
      </w:tr>
    </w:tbl>
    <w:p>
      <w:pPr>
        <w:spacing w:after="180" w:before="60"/>
        <w:jc w:val="center"/>
      </w:pPr>
      <w:r>
        <w:rPr>
          <w:rFonts w:ascii="Arial" w:cs="Arial" w:eastAsia="Arial" w:hAnsi="Arial"/>
          <w:i/>
          <w:iCs/>
          <w:color w:val="595959"/>
          <w:sz w:val="18"/>
          <w:szCs w:val="18"/>
        </w:rPr>
        <w:t xml:space="preserve">Table 7. Monthly synthetic respiratory case counts by condition. December shows highest burden coinciding with peak AQI (151.1 monthly mean). All health data are synthetic.</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6. Discussion</w:t>
      </w:r>
    </w:p>
    <w:p>
      <w:pPr>
        <w:pStyle w:val="Heading2"/>
        <w:spacing w:after="100" w:before="280"/>
      </w:pPr>
      <w:r>
        <w:rPr>
          <w:rFonts w:ascii="Arial" w:cs="Arial" w:eastAsia="Arial" w:hAnsi="Arial"/>
          <w:b/>
          <w:bCs/>
          <w:color w:val="2E75B6"/>
          <w:sz w:val="24"/>
          <w:szCs w:val="24"/>
        </w:rPr>
        <w:t xml:space="preserve">6.1 Seasonal Dynamics and Literature Context</w:t>
      </w:r>
    </w:p>
    <w:p>
      <w:pPr>
        <w:spacing w:after="140" w:before="0" w:line="360"/>
        <w:jc w:val="both"/>
      </w:pPr>
      <w:r>
        <w:rPr>
          <w:rFonts w:ascii="Arial" w:cs="Arial" w:eastAsia="Arial" w:hAnsi="Arial"/>
          <w:sz w:val="22"/>
          <w:szCs w:val="22"/>
        </w:rPr>
        <w:t xml:space="preserve">The extreme seasonal bimodality of air quality at Simara — winter mean AQI 97.4 versus summer monsoon mean 22.7 — reflects the convergence of multiple wintertime atmospheric and anthropogenic factors. Reduced boundary layer height, persistent temperature inversions, cessation of precipitation-mediated wet deposition, and increased biomass burning across the Indo-Gangetic Plain collectively drive this pattern. Analysis of South Asian air quality trends confirms Nepal experienced the highest rise in PM2.5 exposure among South Asian nations from 1990 to 2017 (87.6 to 99.7 μg/m³), with unsustainable industrial practices a primary driver [8].</w:t>
      </w:r>
    </w:p>
    <w:p>
      <w:pPr>
        <w:spacing w:after="140" w:before="0" w:line="360"/>
        <w:jc w:val="both"/>
      </w:pPr>
      <w:r>
        <w:rPr>
          <w:rFonts w:ascii="Arial" w:cs="Arial" w:eastAsia="Arial" w:hAnsi="Arial"/>
          <w:sz w:val="22"/>
          <w:szCs w:val="22"/>
        </w:rPr>
        <w:t xml:space="preserve">The PM2.5–AQI correlation of r = 0.9376 is consistent with established atmospheric chemistry literature confirming PM2.5 as the dominant criteria pollutant in South Asian semi-urban settings. Research across 252 Chinese cities found robust positive associations between short-term PM2.5 exposure and hospital admissions across seven major disease categories including respiratory diseases, with no observable safety threshold [11].</w:t>
      </w:r>
    </w:p>
    <w:p>
      <w:pPr>
        <w:pStyle w:val="Heading2"/>
        <w:spacing w:after="100" w:before="280"/>
      </w:pPr>
      <w:r>
        <w:rPr>
          <w:rFonts w:ascii="Arial" w:cs="Arial" w:eastAsia="Arial" w:hAnsi="Arial"/>
          <w:b/>
          <w:bCs/>
          <w:color w:val="2E75B6"/>
          <w:sz w:val="24"/>
          <w:szCs w:val="24"/>
        </w:rPr>
        <w:t xml:space="preserve">6.2 Very Unhealthy Days and Disease-Specific Impacts</w:t>
      </w:r>
    </w:p>
    <w:p>
      <w:pPr>
        <w:spacing w:after="140" w:before="0" w:line="360"/>
        <w:jc w:val="both"/>
      </w:pPr>
      <w:r>
        <w:rPr>
          <w:rFonts w:ascii="Arial" w:cs="Arial" w:eastAsia="Arial" w:hAnsi="Arial"/>
          <w:sz w:val="22"/>
          <w:szCs w:val="22"/>
        </w:rPr>
        <w:t xml:space="preserve">The two Very Unhealthy days (7–8 December 2025, AQI 242 and 210, PM2.5 191.87 and 159.58 μg/m³ respectively) demonstrated disproportionate synthetic health impacts relative to baseline days: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Condition</w:t>
            </w:r>
          </w:p>
        </w:tc>
        <w:tc>
          <w:tcPr>
            <w:tcW w:type="dxa" w:w="2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Baseline Mean (AQI ≤200)</w:t>
            </w:r>
          </w:p>
        </w:tc>
        <w:tc>
          <w:tcPr>
            <w:tcW w:type="dxa" w:w="2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Extreme Day Mean (AQI &gt;200)</w:t>
            </w:r>
          </w:p>
        </w:tc>
        <w:tc>
          <w:tcPr>
            <w:tcW w:type="dxa" w:w="1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 Increase</w:t>
            </w:r>
          </w:p>
        </w:tc>
        <w:tc>
          <w:tcPr>
            <w:tcW w:type="dxa" w:w="23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Literature Support</w:t>
            </w:r>
          </w:p>
        </w:tc>
      </w:tr>
      <w:tr>
        <w:tc>
          <w:tcPr>
            <w:tcW w:type="dxa" w:w="18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Total Visits</w:t>
            </w:r>
          </w:p>
        </w:tc>
        <w:tc>
          <w:tcPr>
            <w:tcW w:type="dxa" w:w="20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317.6</w:t>
            </w:r>
          </w:p>
        </w:tc>
        <w:tc>
          <w:tcPr>
            <w:tcW w:type="dxa" w:w="20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404.0</w:t>
            </w:r>
          </w:p>
        </w:tc>
        <w:tc>
          <w:tcPr>
            <w:tcW w:type="dxa" w:w="12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+27.2%</w:t>
            </w:r>
          </w:p>
        </w:tc>
        <w:tc>
          <w:tcPr>
            <w:tcW w:type="dxa" w:w="236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Global meta-analysis [7]</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Asthma Cases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94.3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127.5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+35.2%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Orellano et al. 2017 [9]</w:t>
            </w:r>
          </w:p>
        </w:tc>
      </w:tr>
      <w:tr>
        <w:tc>
          <w:tcPr>
            <w:tcW w:type="dxa" w:w="18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COPD Cases</w:t>
            </w:r>
          </w:p>
        </w:tc>
        <w:tc>
          <w:tcPr>
            <w:tcW w:type="dxa" w:w="20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47.9</w:t>
            </w:r>
          </w:p>
        </w:tc>
        <w:tc>
          <w:tcPr>
            <w:tcW w:type="dxa" w:w="20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65.5</w:t>
            </w:r>
          </w:p>
        </w:tc>
        <w:tc>
          <w:tcPr>
            <w:tcW w:type="dxa" w:w="12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+36.7%</w:t>
            </w:r>
          </w:p>
        </w:tc>
        <w:tc>
          <w:tcPr>
            <w:tcW w:type="dxa" w:w="236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Li et al. 2016 [1]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Bronchitis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64.3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79.0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+22.9%</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Wan Mahiyuddin 2023 [8]</w:t>
            </w:r>
          </w:p>
        </w:tc>
      </w:tr>
      <w:tr>
        <w:tc>
          <w:tcPr>
            <w:tcW w:type="dxa" w:w="18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Pneumonia</w:t>
            </w:r>
          </w:p>
        </w:tc>
        <w:tc>
          <w:tcPr>
            <w:tcW w:type="dxa" w:w="20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79.2</w:t>
            </w:r>
          </w:p>
        </w:tc>
        <w:tc>
          <w:tcPr>
            <w:tcW w:type="dxa" w:w="20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90.5</w:t>
            </w:r>
          </w:p>
        </w:tc>
        <w:tc>
          <w:tcPr>
            <w:tcW w:type="dxa" w:w="120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+14.3%</w:t>
            </w:r>
          </w:p>
        </w:tc>
        <w:tc>
          <w:tcPr>
            <w:tcW w:type="dxa" w:w="2360"/>
            <w:tcBorders>
              <w:top w:val="single" w:color="DDDDDD" w:sz="1"/>
              <w:left w:val="single" w:color="DDDDDD" w:sz="1"/>
              <w:bottom w:val="single" w:color="DDDDDD" w:sz="1"/>
              <w:right w:val="single" w:color="DDDDDD" w:sz="1"/>
            </w:tcBorders>
            <w:shd w:fill="FFF0EE"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Tian et al. 2019 [5]</w:t>
            </w:r>
          </w:p>
        </w:tc>
      </w:tr>
    </w:tbl>
    <w:p>
      <w:pPr>
        <w:spacing w:after="180" w:before="60"/>
        <w:jc w:val="center"/>
      </w:pPr>
      <w:r>
        <w:rPr>
          <w:rFonts w:ascii="Arial" w:cs="Arial" w:eastAsia="Arial" w:hAnsi="Arial"/>
          <w:i/>
          <w:iCs/>
          <w:color w:val="595959"/>
          <w:sz w:val="18"/>
          <w:szCs w:val="18"/>
        </w:rPr>
        <w:t xml:space="preserve">Table 8. Synthetic case comparison: Very Unhealthy days vs baseline. *Proportional increases align with published dose-response data; absolute values are synthetic.</w:t>
      </w:r>
    </w:p>
    <w:p>
      <w:pPr>
        <w:spacing w:after="80" w:before="0"/>
      </w:pPr>
      <w:r>
        <w:t xml:space="preserve"/>
      </w:r>
    </w:p>
    <w:p>
      <w:pPr>
        <w:spacing w:after="140" w:before="0" w:line="360"/>
        <w:jc w:val="both"/>
      </w:pPr>
      <w:r>
        <w:rPr>
          <w:rFonts w:ascii="Arial" w:cs="Arial" w:eastAsia="Arial" w:hAnsi="Arial"/>
          <w:sz w:val="22"/>
          <w:szCs w:val="22"/>
        </w:rPr>
        <w:t xml:space="preserve">These proportional increases align closely with published evidence. A meta-analysis of 12 studies found that a 10 μg/m³ PM2.5 increase is associated with a 3.1% rise in COPD hospitalizations (95% CI: 1.6–4.6%) [1]. A further systematic review confirmed a 1.6% increase per 10 μg/m³ increment across 19 studies [2]. At PM2.5 concentrations of 150–192 μg/m³ — representing exposures approximately 10–13 times the WHO 24-hour guideline of 15 μg/m³ — these relative risks compound substantially. For asthma, a multilevel meta-analysis across 22 studies confirmed a significant association (OR: 1.028; 95% CI: 1.009–1.047) between PM2.5 and exacerbations [9]. Seasonal analysis confirms winter as the highest-risk window, with PM2.5 positively correlated with asthma and COPD exacerbations during cold months [2].</w:t>
      </w:r>
    </w:p>
    <w:p>
      <w:pPr>
        <w:spacing w:after="140" w:before="0" w:line="360"/>
        <w:jc w:val="both"/>
      </w:pPr>
      <w:r>
        <w:rPr>
          <w:rFonts w:ascii="Arial" w:cs="Arial" w:eastAsia="Arial" w:hAnsi="Arial"/>
          <w:sz w:val="22"/>
          <w:szCs w:val="22"/>
        </w:rPr>
        <w:t xml:space="preserve">For pneumonia, a nationwide Chinese study across 184 cities demonstrated that a 10 μg/m³ increase in 3-day mean PM2.5 is associated with a 0.31% increase in adult pneumonia hospital admissions, with effects stronger in elderly populations [5]. The broader mortality context is sobering: across 652 global cities, a 10 μg/m³ PM2.5 increase is associated with a 0.74% rise in daily respiratory mortality [7].</w:t>
      </w:r>
    </w:p>
    <w:p>
      <w:pPr>
        <w:pStyle w:val="Heading2"/>
        <w:spacing w:after="100" w:before="280"/>
      </w:pPr>
      <w:r>
        <w:rPr>
          <w:rFonts w:ascii="Arial" w:cs="Arial" w:eastAsia="Arial" w:hAnsi="Arial"/>
          <w:b/>
          <w:bCs/>
          <w:color w:val="2E75B6"/>
          <w:sz w:val="24"/>
          <w:szCs w:val="24"/>
        </w:rPr>
        <w:t xml:space="preserve">6.3 Broader Regional Health and Economic Burden</w:t>
      </w:r>
    </w:p>
    <w:p>
      <w:pPr>
        <w:spacing w:after="140" w:before="0" w:line="360"/>
        <w:jc w:val="both"/>
      </w:pPr>
      <w:r>
        <w:rPr>
          <w:rFonts w:ascii="Arial" w:cs="Arial" w:eastAsia="Arial" w:hAnsi="Arial"/>
          <w:sz w:val="22"/>
          <w:szCs w:val="22"/>
        </w:rPr>
        <w:t xml:space="preserve">Research on source contributions to PM2.5 mortality in South Asia found that 1.02 million deaths in 2019 were attributable to ambient PM2.5, primarily driven by residential combustion (28%), industry (15%), and power generation (12%) [17]. Solid biofuel combustion was the leading fuel contributor (31% of mortality). These findings contextualise Simara’s local emission profile — brick kilns, small-scale manufacturing, and heavy diesel transport — within a larger regional burden. The economic costs of air pollution across South Asian cities, including rising healthcare expenditures and productivity losses, represent a significant and growing drag on development [16].</w:t>
      </w:r>
    </w:p>
    <w:p>
      <w:pPr>
        <w:pStyle w:val="Heading2"/>
        <w:spacing w:after="100" w:before="280"/>
      </w:pPr>
      <w:r>
        <w:rPr>
          <w:rFonts w:ascii="Arial" w:cs="Arial" w:eastAsia="Arial" w:hAnsi="Arial"/>
          <w:b/>
          <w:bCs/>
          <w:color w:val="2E75B6"/>
          <w:sz w:val="24"/>
          <w:szCs w:val="24"/>
        </w:rPr>
        <w:t xml:space="preserve">6.4 Limitations</w:t>
      </w:r>
    </w:p>
    <w:p>
      <w:pPr>
        <w:spacing w:after="140" w:before="0" w:line="360"/>
        <w:jc w:val="both"/>
      </w:pPr>
      <w:r>
        <w:rPr>
          <w:rFonts w:ascii="Arial" w:cs="Arial" w:eastAsia="Arial" w:hAnsi="Arial"/>
          <w:sz w:val="22"/>
          <w:szCs w:val="22"/>
        </w:rPr>
        <w:t xml:space="preserve">Key methodological limitations warrant acknowledgement:</w:t>
      </w:r>
    </w:p>
    <w:p>
      <w:pPr>
        <w:pStyle w:val="ListParagraph"/>
        <w:numPr>
          <w:ilvl w:val="0"/>
          <w:numId w:val="2"/>
        </w:numPr>
        <w:spacing w:after="80" w:before="40" w:line="320"/>
      </w:pPr>
      <w:r>
        <w:rPr>
          <w:rFonts w:ascii="Arial" w:cs="Arial" w:eastAsia="Arial" w:hAnsi="Arial"/>
          <w:b w:val="false"/>
          <w:bCs w:val="false"/>
          <w:sz w:val="22"/>
          <w:szCs w:val="22"/>
        </w:rPr>
        <w:t xml:space="preserve">Health outcome data are entirely synthetic and do not represent actual clinical observations. All health impact findings must be interpreted as illustrative demonstrations.</w:t>
      </w:r>
    </w:p>
    <w:p>
      <w:pPr>
        <w:pStyle w:val="ListParagraph"/>
        <w:numPr>
          <w:ilvl w:val="0"/>
          <w:numId w:val="2"/>
        </w:numPr>
        <w:spacing w:after="80" w:before="40" w:line="320"/>
      </w:pPr>
      <w:r>
        <w:rPr>
          <w:rFonts w:ascii="Arial" w:cs="Arial" w:eastAsia="Arial" w:hAnsi="Arial"/>
          <w:b w:val="false"/>
          <w:bCs w:val="false"/>
          <w:sz w:val="22"/>
          <w:szCs w:val="22"/>
        </w:rPr>
        <w:t xml:space="preserve">The Pearson model assumes linearity; visual inspection suggests slight non-linearity at extreme PM2.5 concentrations, where a polynomial or logarithmic model may yield superior fit.</w:t>
      </w:r>
    </w:p>
    <w:p>
      <w:pPr>
        <w:pStyle w:val="ListParagraph"/>
        <w:numPr>
          <w:ilvl w:val="0"/>
          <w:numId w:val="2"/>
        </w:numPr>
        <w:spacing w:after="80" w:before="40" w:line="320"/>
      </w:pPr>
      <w:r>
        <w:rPr>
          <w:rFonts w:ascii="Arial" w:cs="Arial" w:eastAsia="Arial" w:hAnsi="Arial"/>
          <w:b w:val="false"/>
          <w:bCs w:val="false"/>
          <w:sz w:val="22"/>
          <w:szCs w:val="22"/>
        </w:rPr>
        <w:t xml:space="preserve">No statistical control for confounders including ambient temperature, relative humidity, wind speed, day-of-week, or viral respiratory infection prevalence.</w:t>
      </w:r>
    </w:p>
    <w:p>
      <w:pPr>
        <w:pStyle w:val="ListParagraph"/>
        <w:numPr>
          <w:ilvl w:val="0"/>
          <w:numId w:val="2"/>
        </w:numPr>
        <w:spacing w:after="80" w:before="40" w:line="320"/>
      </w:pPr>
      <w:r>
        <w:rPr>
          <w:rFonts w:ascii="Arial" w:cs="Arial" w:eastAsia="Arial" w:hAnsi="Arial"/>
          <w:b w:val="false"/>
          <w:bCs w:val="false"/>
          <w:sz w:val="22"/>
          <w:szCs w:val="22"/>
        </w:rPr>
        <w:t xml:space="preserve">Six missing calendar dates introduce minor gaps in temporal continuity, though the 1.6% missingness rate is negligible for population-level estimates.</w:t>
      </w:r>
    </w:p>
    <w:p>
      <w:pPr>
        <w:pStyle w:val="ListParagraph"/>
        <w:numPr>
          <w:ilvl w:val="0"/>
          <w:numId w:val="2"/>
        </w:numPr>
        <w:spacing w:after="80" w:before="40" w:line="320"/>
      </w:pPr>
      <w:r>
        <w:rPr>
          <w:rFonts w:ascii="Arial" w:cs="Arial" w:eastAsia="Arial" w:hAnsi="Arial"/>
          <w:b w:val="false"/>
          <w:bCs w:val="false"/>
          <w:sz w:val="22"/>
          <w:szCs w:val="22"/>
        </w:rPr>
        <w:t xml:space="preserve">Single-station monitoring may not capture intra-urban spatial heterogeneity in exposure across residential, industrial, and transport microenvironments.</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7. Conclusion</w:t>
      </w:r>
    </w:p>
    <w:p>
      <w:pPr>
        <w:spacing w:after="140" w:before="0" w:line="360"/>
        <w:jc w:val="both"/>
      </w:pPr>
      <w:r>
        <w:rPr>
          <w:rFonts w:ascii="Arial" w:cs="Arial" w:eastAsia="Arial" w:hAnsi="Arial"/>
          <w:sz w:val="22"/>
          <w:szCs w:val="22"/>
        </w:rPr>
        <w:t xml:space="preserve">This study tested the hypothesis that elevated PM2.5 concentrations are statistically significantly associated with increased respiratory morbidity in Simara. The analysis of 359 days of real air quality monitoring data, contextualised against 23 peer-reviewed studies from the Consensus academic search engine, yields the following principal conclusions: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100"/>
        <w:gridCol w:w="39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Finding</w:t>
            </w:r>
          </w:p>
        </w:tc>
        <w:tc>
          <w:tcPr>
            <w:tcW w:type="dxa" w:w="15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Value</w:t>
            </w:r>
          </w:p>
        </w:tc>
        <w:tc>
          <w:tcPr>
            <w:tcW w:type="dxa" w:w="11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Status</w:t>
            </w:r>
          </w:p>
        </w:tc>
        <w:tc>
          <w:tcPr>
            <w:tcW w:type="dxa" w:w="39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Hypothesis Outcome</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PM2.5 → AQI correlation</w:t>
            </w:r>
          </w:p>
        </w:tc>
        <w:tc>
          <w:tcPr>
            <w:tcW w:type="dxa" w:w="15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r = 0.9376</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Real</w:t>
            </w:r>
          </w:p>
        </w:tc>
        <w:tc>
          <w:tcPr>
            <w:tcW w:type="dxa" w:w="3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H₀ REJECTED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PM2.5 → AQI explanatory power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A6B3C"/>
                <w:sz w:val="19"/>
                <w:szCs w:val="19"/>
              </w:rPr>
              <w:t xml:space="preserve">R² = 0.8791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Real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PM2.5 dominant pollutant</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AQI → Visits correlation</w:t>
            </w:r>
          </w:p>
        </w:tc>
        <w:tc>
          <w:tcPr>
            <w:tcW w:type="dxa" w:w="15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r = 0.2449</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Synthetic</w:t>
            </w:r>
          </w:p>
        </w:tc>
        <w:tc>
          <w:tcPr>
            <w:tcW w:type="dxa" w:w="3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H₀ REJECTED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Winter vs Summer AQI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97.4 vs 22.7</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Real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4.3× seasonal disparity</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Peak PM2.5 (7 Dec 2025)</w:t>
            </w:r>
          </w:p>
        </w:tc>
        <w:tc>
          <w:tcPr>
            <w:tcW w:type="dxa" w:w="15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191.87 μg/m³</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Real</w:t>
            </w:r>
          </w:p>
        </w:tc>
        <w:tc>
          <w:tcPr>
            <w:tcW w:type="dxa" w:w="3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12.8× WHO 24h guideline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Asthma increase on extreme days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+35.2%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Synthetic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Consistent with lit. [9]</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COPD increase on extreme days</w:t>
            </w:r>
          </w:p>
        </w:tc>
        <w:tc>
          <w:tcPr>
            <w:tcW w:type="dxa" w:w="15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+36.7%</w:t>
            </w:r>
          </w:p>
        </w:tc>
        <w:tc>
          <w:tcPr>
            <w:tcW w:type="dxa" w:w="110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Synthetic</w:t>
            </w:r>
          </w:p>
        </w:tc>
        <w:tc>
          <w:tcPr>
            <w:tcW w:type="dxa" w:w="3960"/>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Consistent with lit. [1]</w:t>
            </w:r>
          </w:p>
        </w:tc>
      </w:tr>
    </w:tbl>
    <w:p>
      <w:pPr>
        <w:spacing w:after="180" w:before="60"/>
        <w:jc w:val="center"/>
      </w:pPr>
      <w:r>
        <w:rPr>
          <w:rFonts w:ascii="Arial" w:cs="Arial" w:eastAsia="Arial" w:hAnsi="Arial"/>
          <w:i/>
          <w:iCs/>
          <w:color w:val="595959"/>
          <w:sz w:val="18"/>
          <w:szCs w:val="18"/>
        </w:rPr>
        <w:t xml:space="preserve">Table 9. Summary of key findings and hypothesis outcomes. *Synthetic health data.</w:t>
      </w:r>
    </w:p>
    <w:p>
      <w:pPr>
        <w:pStyle w:val="Heading2"/>
        <w:spacing w:after="100" w:before="280"/>
      </w:pPr>
      <w:r>
        <w:rPr>
          <w:rFonts w:ascii="Arial" w:cs="Arial" w:eastAsia="Arial" w:hAnsi="Arial"/>
          <w:b/>
          <w:bCs/>
          <w:color w:val="2E75B6"/>
          <w:sz w:val="24"/>
          <w:szCs w:val="24"/>
        </w:rPr>
        <w:t xml:space="preserve">7.1 Policy Recommendations</w:t>
      </w:r>
    </w:p>
    <w:p>
      <w:pPr>
        <w:spacing w:after="140" w:before="0" w:line="360"/>
        <w:jc w:val="both"/>
      </w:pPr>
      <w:r>
        <w:rPr>
          <w:rFonts w:ascii="Arial" w:cs="Arial" w:eastAsia="Arial" w:hAnsi="Arial"/>
          <w:sz w:val="22"/>
          <w:szCs w:val="22"/>
        </w:rPr>
        <w:t xml:space="preserve">Based on the findings of this study and the broader regional literature, the following evidence-informed recommendations are advanced for local and provincial authorities in Simara and Bara District:</w:t>
      </w:r>
    </w:p>
    <w:p>
      <w:pPr>
        <w:spacing w:after="8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40"/>
        <w:gridCol w:w="4520"/>
        <w:gridCol w:w="1400"/>
        <w:gridCol w:w="1000"/>
      </w:tblGrid>
      <w:tr>
        <w:trPr>
          <w:tblHeader/>
        </w:trPr>
        <w:tc>
          <w:tcPr>
            <w:tcW w:type="dxa" w:w="4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t>
            </w:r>
          </w:p>
        </w:tc>
        <w:tc>
          <w:tcPr>
            <w:tcW w:type="dxa" w:w="452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Recommendation</w:t>
            </w:r>
          </w:p>
        </w:tc>
        <w:tc>
          <w:tcPr>
            <w:tcW w:type="dxa" w:w="1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Trigger</w:t>
            </w:r>
          </w:p>
        </w:tc>
        <w:tc>
          <w:tcPr>
            <w:tcW w:type="dxa" w:w="1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Priority</w:t>
            </w:r>
          </w:p>
        </w:tc>
      </w:tr>
      <w:tr>
        <w:tc>
          <w:tcPr>
            <w:tcW w:type="dxa" w:w="44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w:t>
            </w:r>
          </w:p>
        </w:tc>
        <w:tc>
          <w:tcPr>
            <w:tcW w:type="dxa" w:w="452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Establish real-time public AQI alert system (mobile notifications + display boards at key public locations)</w:t>
            </w:r>
          </w:p>
        </w:tc>
        <w:tc>
          <w:tcPr>
            <w:tcW w:type="dxa" w:w="140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AQI &gt; 100</w:t>
            </w:r>
          </w:p>
        </w:tc>
        <w:tc>
          <w:tcPr>
            <w:tcW w:type="dxa" w:w="100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High</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w:t>
            </w:r>
          </w:p>
        </w:tc>
        <w:tc>
          <w:tcPr>
            <w:tcW w:type="dxa" w:w="4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Enforce enhanced emission controls on brick kilns, manufacturing units, and heavy diesel transport vehicles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October–February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High</w:t>
            </w:r>
          </w:p>
        </w:tc>
      </w:tr>
      <w:tr>
        <w:tc>
          <w:tcPr>
            <w:tcW w:type="dxa" w:w="44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w:t>
            </w:r>
          </w:p>
        </w:tc>
        <w:tc>
          <w:tcPr>
            <w:tcW w:type="dxa" w:w="452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Pre-position respiratory emergency drug stockpiles (bronchodilators, corticosteroids) at district hospitals</w:t>
            </w:r>
          </w:p>
        </w:tc>
        <w:tc>
          <w:tcPr>
            <w:tcW w:type="dxa" w:w="140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AQI &gt; 150</w:t>
            </w:r>
          </w:p>
        </w:tc>
        <w:tc>
          <w:tcPr>
            <w:tcW w:type="dxa" w:w="100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High</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w:t>
            </w:r>
          </w:p>
        </w:tc>
        <w:tc>
          <w:tcPr>
            <w:tcW w:type="dxa" w:w="4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Expand monitoring network with sensors at residential, school, and hospital locations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Ongoing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Medium</w:t>
            </w:r>
          </w:p>
        </w:tc>
      </w:tr>
      <w:tr>
        <w:tc>
          <w:tcPr>
            <w:tcW w:type="dxa" w:w="44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w:t>
            </w:r>
          </w:p>
        </w:tc>
        <w:tc>
          <w:tcPr>
            <w:tcW w:type="dxa" w:w="452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Commission follow-up study using actual clinical hospital admission records paired with real AQI data</w:t>
            </w:r>
          </w:p>
        </w:tc>
        <w:tc>
          <w:tcPr>
            <w:tcW w:type="dxa" w:w="140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w:t>
            </w:r>
          </w:p>
        </w:tc>
        <w:tc>
          <w:tcPr>
            <w:tcW w:type="dxa" w:w="1000"/>
            <w:tcBorders>
              <w:top w:val="single" w:color="DDDDDD" w:sz="1"/>
              <w:left w:val="single" w:color="DDDDDD" w:sz="1"/>
              <w:bottom w:val="single" w:color="DDDDDD" w:sz="1"/>
              <w:right w:val="single" w:color="DDDDDD" w:sz="1"/>
            </w:tcBorders>
            <w:shd w:fill="F5FFF5"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Medium</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w:t>
            </w:r>
          </w:p>
        </w:tc>
        <w:tc>
          <w:tcPr>
            <w:tcW w:type="dxa" w:w="4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Develop transboundary pollution management framework with provincial and Indian border authorities addressing agricultural residue burning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Regional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Medium</w:t>
            </w:r>
          </w:p>
        </w:tc>
      </w:tr>
    </w:tbl>
    <w:p>
      <w:pPr>
        <w:spacing w:after="180" w:before="60"/>
        <w:jc w:val="center"/>
      </w:pPr>
      <w:r>
        <w:rPr>
          <w:rFonts w:ascii="Arial" w:cs="Arial" w:eastAsia="Arial" w:hAnsi="Arial"/>
          <w:i/>
          <w:iCs/>
          <w:color w:val="595959"/>
          <w:sz w:val="18"/>
          <w:szCs w:val="18"/>
        </w:rPr>
        <w:t xml:space="preserve">Table 10. Evidence-based policy recommendations for Simara local authorities.</w:t>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3864"/>
          <w:sz w:val="30"/>
          <w:szCs w:val="30"/>
        </w:rPr>
        <w:t xml:space="preserve">8. References</w:t>
      </w:r>
    </w:p>
    <w:p>
      <w:pPr>
        <w:spacing w:after="140" w:before="0" w:line="360"/>
        <w:jc w:val="both"/>
      </w:pPr>
      <w:r>
        <w:rPr>
          <w:rFonts w:ascii="Arial" w:cs="Arial" w:eastAsia="Arial" w:hAnsi="Arial"/>
          <w:i/>
          <w:iCs/>
          <w:sz w:val="22"/>
          <w:szCs w:val="22"/>
        </w:rPr>
        <w:t xml:space="preserve">All academic literature was identified and retrieved via the Consensus Academic Search Engine (consensus.app). Papers are listed in citation order as referenced in the text.</w:t>
      </w:r>
    </w:p>
    <w:p>
      <w:pPr>
        <w:spacing w:after="80" w:before="0"/>
      </w:pPr>
      <w:r>
        <w:t xml:space="preserve"/>
      </w:r>
    </w:p>
    <w:p>
      <w:pPr>
        <w:pStyle w:val="ListParagraph"/>
        <w:numPr>
          <w:ilvl w:val="0"/>
          <w:numId w:val="3"/>
        </w:numPr>
        <w:spacing w:after="80" w:before="40" w:line="320"/>
      </w:pPr>
      <w:r>
        <w:rPr>
          <w:rFonts w:ascii="Arial" w:cs="Arial" w:eastAsia="Arial" w:hAnsi="Arial"/>
          <w:sz w:val="22"/>
          <w:szCs w:val="22"/>
        </w:rPr>
        <w:t xml:space="preserve">[1] Li, M.-H. et al. (2016). Short-term Exposure to Ambient Fine Particulate Matter Increases Hospitalizations and Mortality in COPD: A Systematic Review and Meta-analysis. Chest. 247 citations. consensus.app/papers/details/38893957f65d58898189839135a8a801/</w:t>
      </w:r>
    </w:p>
    <w:p>
      <w:pPr>
        <w:pStyle w:val="ListParagraph"/>
        <w:numPr>
          <w:ilvl w:val="0"/>
          <w:numId w:val="3"/>
        </w:numPr>
        <w:spacing w:after="80" w:before="40" w:line="320"/>
      </w:pPr>
      <w:r>
        <w:rPr>
          <w:rFonts w:ascii="Arial" w:cs="Arial" w:eastAsia="Arial" w:hAnsi="Arial"/>
          <w:sz w:val="22"/>
          <w:szCs w:val="22"/>
        </w:rPr>
        <w:t xml:space="preserve">[2] Romaszko-Wojtowicz, A. et al. (2025). Impact of seasonal biometeorological conditions and particulate matter on asthma and COPD hospital admissions. Scientific Reports.</w:t>
      </w:r>
    </w:p>
    <w:p>
      <w:pPr>
        <w:pStyle w:val="ListParagraph"/>
        <w:numPr>
          <w:ilvl w:val="0"/>
          <w:numId w:val="3"/>
        </w:numPr>
        <w:spacing w:after="80" w:before="40" w:line="320"/>
      </w:pPr>
      <w:r>
        <w:rPr>
          <w:rFonts w:ascii="Arial" w:cs="Arial" w:eastAsia="Arial" w:hAnsi="Arial"/>
          <w:sz w:val="22"/>
          <w:szCs w:val="22"/>
        </w:rPr>
        <w:t xml:space="preserve">[3] Delavar, M. et al. (2023). Relationship between fine particulate matter (PM2.5) concentration and risk of hospitalization due to COPD: a systematic review and meta-analysis. BMC Public Health.</w:t>
      </w:r>
    </w:p>
    <w:p>
      <w:pPr>
        <w:pStyle w:val="ListParagraph"/>
        <w:numPr>
          <w:ilvl w:val="0"/>
          <w:numId w:val="3"/>
        </w:numPr>
        <w:spacing w:after="80" w:before="40" w:line="320"/>
      </w:pPr>
      <w:r>
        <w:rPr>
          <w:rFonts w:ascii="Arial" w:cs="Arial" w:eastAsia="Arial" w:hAnsi="Arial"/>
          <w:sz w:val="22"/>
          <w:szCs w:val="22"/>
        </w:rPr>
        <w:t xml:space="preserve">[4] Zhu, R.-X. et al. (2020). Relationship Between PM2.5 and Hospitalizations and Mortality of COPD Patients: A Meta-Analysis. American Journal of Medical Sciences. 42 citations.</w:t>
      </w:r>
    </w:p>
    <w:p>
      <w:pPr>
        <w:pStyle w:val="ListParagraph"/>
        <w:numPr>
          <w:ilvl w:val="0"/>
          <w:numId w:val="3"/>
        </w:numPr>
        <w:spacing w:after="80" w:before="40" w:line="320"/>
      </w:pPr>
      <w:r>
        <w:rPr>
          <w:rFonts w:ascii="Arial" w:cs="Arial" w:eastAsia="Arial" w:hAnsi="Arial"/>
          <w:sz w:val="22"/>
          <w:szCs w:val="22"/>
        </w:rPr>
        <w:t xml:space="preserve">[5] Tian, Y. et al. (2019). Ambient particulate matter pollution and adult hospital admissions for pneumonia in urban China. PLoS Medicine. 88 citations.</w:t>
      </w:r>
    </w:p>
    <w:p>
      <w:pPr>
        <w:pStyle w:val="ListParagraph"/>
        <w:numPr>
          <w:ilvl w:val="0"/>
          <w:numId w:val="3"/>
        </w:numPr>
        <w:spacing w:after="80" w:before="40" w:line="320"/>
      </w:pPr>
      <w:r>
        <w:rPr>
          <w:rFonts w:ascii="Arial" w:cs="Arial" w:eastAsia="Arial" w:hAnsi="Arial"/>
          <w:sz w:val="22"/>
          <w:szCs w:val="22"/>
        </w:rPr>
        <w:t xml:space="preserve">[6] Ab Manan, N. et al. (2018). Effect of Air Pollution and Hospital Admission: A Systematic Review. Annals of Global Health. 75 citations.</w:t>
      </w:r>
    </w:p>
    <w:p>
      <w:pPr>
        <w:pStyle w:val="ListParagraph"/>
        <w:numPr>
          <w:ilvl w:val="0"/>
          <w:numId w:val="3"/>
        </w:numPr>
        <w:spacing w:after="80" w:before="40" w:line="320"/>
      </w:pPr>
      <w:r>
        <w:rPr>
          <w:rFonts w:ascii="Arial" w:cs="Arial" w:eastAsia="Arial" w:hAnsi="Arial"/>
          <w:sz w:val="22"/>
          <w:szCs w:val="22"/>
        </w:rPr>
        <w:t xml:space="preserve">[7] Liu, C. et al. (2019). Ambient Particulate Air Pollution and Daily Mortality in 652 Cities. New England Journal of Medicine. 1,163 citations.</w:t>
      </w:r>
    </w:p>
    <w:p>
      <w:pPr>
        <w:pStyle w:val="ListParagraph"/>
        <w:numPr>
          <w:ilvl w:val="0"/>
          <w:numId w:val="3"/>
        </w:numPr>
        <w:spacing w:after="80" w:before="40" w:line="320"/>
      </w:pPr>
      <w:r>
        <w:rPr>
          <w:rFonts w:ascii="Arial" w:cs="Arial" w:eastAsia="Arial" w:hAnsi="Arial"/>
          <w:sz w:val="22"/>
          <w:szCs w:val="22"/>
        </w:rPr>
        <w:t xml:space="preserve">[8] Wan Mahiyuddin, W. R. et al. (2023). Cardiovascular and Respiratory Health Effects of Fine Particulate Matters (PM2.5): A Review on Time Series Studies. Atmosphere. 51 citations.</w:t>
      </w:r>
    </w:p>
    <w:p>
      <w:pPr>
        <w:pStyle w:val="ListParagraph"/>
        <w:numPr>
          <w:ilvl w:val="0"/>
          <w:numId w:val="3"/>
        </w:numPr>
        <w:spacing w:after="80" w:before="40" w:line="320"/>
      </w:pPr>
      <w:r>
        <w:rPr>
          <w:rFonts w:ascii="Arial" w:cs="Arial" w:eastAsia="Arial" w:hAnsi="Arial"/>
          <w:sz w:val="22"/>
          <w:szCs w:val="22"/>
        </w:rPr>
        <w:t xml:space="preserve">[9] Orellano, P. et al. (2017). Effect of outdoor air pollution on asthma exacerbation in children and adults: Systematic review and multilevel meta-analysis. PLoS ONE. 382 citations.</w:t>
      </w:r>
    </w:p>
    <w:p>
      <w:pPr>
        <w:pStyle w:val="ListParagraph"/>
        <w:numPr>
          <w:ilvl w:val="0"/>
          <w:numId w:val="3"/>
        </w:numPr>
        <w:spacing w:after="80" w:before="40" w:line="320"/>
      </w:pPr>
      <w:r>
        <w:rPr>
          <w:rFonts w:ascii="Arial" w:cs="Arial" w:eastAsia="Arial" w:hAnsi="Arial"/>
          <w:sz w:val="22"/>
          <w:szCs w:val="22"/>
        </w:rPr>
        <w:t xml:space="preserve">[10] Danesh Yazdi, M. et al. (2021). Long-Term Association of Air Pollution and Hospital Admissions Among Medicare Participants. Circulation. 87 citations.</w:t>
      </w:r>
    </w:p>
    <w:p>
      <w:pPr>
        <w:pStyle w:val="ListParagraph"/>
        <w:numPr>
          <w:ilvl w:val="0"/>
          <w:numId w:val="3"/>
        </w:numPr>
        <w:spacing w:after="80" w:before="40" w:line="320"/>
      </w:pPr>
      <w:r>
        <w:rPr>
          <w:rFonts w:ascii="Arial" w:cs="Arial" w:eastAsia="Arial" w:hAnsi="Arial"/>
          <w:sz w:val="22"/>
          <w:szCs w:val="22"/>
        </w:rPr>
        <w:t xml:space="preserve">[11] Gu, J. et al. (2020). Ambient air pollution and cause-specific risk of hospital admission in China: A nationwide time-series study. PLoS Medicine. 144 citations.</w:t>
      </w:r>
    </w:p>
    <w:p>
      <w:pPr>
        <w:pStyle w:val="ListParagraph"/>
        <w:numPr>
          <w:ilvl w:val="0"/>
          <w:numId w:val="3"/>
        </w:numPr>
        <w:spacing w:after="80" w:before="40" w:line="320"/>
      </w:pPr>
      <w:r>
        <w:rPr>
          <w:rFonts w:ascii="Arial" w:cs="Arial" w:eastAsia="Arial" w:hAnsi="Arial"/>
          <w:sz w:val="22"/>
          <w:szCs w:val="22"/>
        </w:rPr>
        <w:t xml:space="preserve">[12] Jabbar, S. A. et al. (2022). Air Quality, Pollution and Sustainability Trends in South Asia: A Population-Based Study. Int. J. Environmental Research and Public Health. 71 citations.</w:t>
      </w:r>
    </w:p>
    <w:p>
      <w:pPr>
        <w:pStyle w:val="ListParagraph"/>
        <w:numPr>
          <w:ilvl w:val="0"/>
          <w:numId w:val="3"/>
        </w:numPr>
        <w:spacing w:after="80" w:before="40" w:line="320"/>
      </w:pPr>
      <w:r>
        <w:rPr>
          <w:rFonts w:ascii="Arial" w:cs="Arial" w:eastAsia="Arial" w:hAnsi="Arial"/>
          <w:sz w:val="22"/>
          <w:szCs w:val="22"/>
        </w:rPr>
        <w:t xml:space="preserve">[13] Maharjan, A. et al. (2022). Air pollution exposure and its impacts on everyday life and livelihoods of vulnerable urban populations in South Asia. Environmental Research Communications.</w:t>
      </w:r>
    </w:p>
    <w:p>
      <w:pPr>
        <w:pStyle w:val="ListParagraph"/>
        <w:numPr>
          <w:ilvl w:val="0"/>
          <w:numId w:val="3"/>
        </w:numPr>
        <w:spacing w:after="80" w:before="40" w:line="320"/>
      </w:pPr>
      <w:r>
        <w:rPr>
          <w:rFonts w:ascii="Arial" w:cs="Arial" w:eastAsia="Arial" w:hAnsi="Arial"/>
          <w:sz w:val="22"/>
          <w:szCs w:val="22"/>
        </w:rPr>
        <w:t xml:space="preserve">[14] Islam, M. et al. (2019). Ambient air quality in the Kathmandu Valley, Nepal, during the pre-monsoon: concentrations and sources of particulate matter and trace gases. Atmospheric Chemistry and Physics. 55 citations.</w:t>
      </w:r>
    </w:p>
    <w:p>
      <w:pPr>
        <w:pStyle w:val="ListParagraph"/>
        <w:numPr>
          <w:ilvl w:val="0"/>
          <w:numId w:val="3"/>
        </w:numPr>
        <w:spacing w:after="80" w:before="40" w:line="320"/>
      </w:pPr>
      <w:r>
        <w:rPr>
          <w:rFonts w:ascii="Arial" w:cs="Arial" w:eastAsia="Arial" w:hAnsi="Arial"/>
          <w:sz w:val="22"/>
          <w:szCs w:val="22"/>
        </w:rPr>
        <w:t xml:space="preserve">[15] Dhital, N. B. et al. (2024). Estimating potentially preventable ambient PM2.5-attributable adult deaths by improving air quality in Nepal. Atmospheric Pollution Research.</w:t>
      </w:r>
    </w:p>
    <w:p>
      <w:pPr>
        <w:pStyle w:val="ListParagraph"/>
        <w:numPr>
          <w:ilvl w:val="0"/>
          <w:numId w:val="3"/>
        </w:numPr>
        <w:spacing w:after="80" w:before="40" w:line="320"/>
      </w:pPr>
      <w:r>
        <w:rPr>
          <w:rFonts w:ascii="Arial" w:cs="Arial" w:eastAsia="Arial" w:hAnsi="Arial"/>
          <w:sz w:val="22"/>
          <w:szCs w:val="22"/>
        </w:rPr>
        <w:t xml:space="preserve">[16] Bandara, S. J. H. et al. (2025). Economic and Public Health Impacts of Transportation-Driven Air Pollution in South Asia. Sustainability.</w:t>
      </w:r>
    </w:p>
    <w:p>
      <w:pPr>
        <w:pStyle w:val="ListParagraph"/>
        <w:numPr>
          <w:ilvl w:val="0"/>
          <w:numId w:val="3"/>
        </w:numPr>
        <w:spacing w:after="80" w:before="40" w:line="320"/>
      </w:pPr>
      <w:r>
        <w:rPr>
          <w:rFonts w:ascii="Arial" w:cs="Arial" w:eastAsia="Arial" w:hAnsi="Arial"/>
          <w:sz w:val="22"/>
          <w:szCs w:val="22"/>
        </w:rPr>
        <w:t xml:space="preserve">[17] Chatterjee, D. et al. (2023). Source Contributions to Fine Particulate Matter and Attributable Mortality in India and the Surrounding Region. Environmental Science &amp; Technology. 29 citations.</w:t>
      </w:r>
    </w:p>
    <w:p>
      <w:pPr>
        <w:pStyle w:val="ListParagraph"/>
        <w:numPr>
          <w:ilvl w:val="0"/>
          <w:numId w:val="3"/>
        </w:numPr>
        <w:spacing w:after="80" w:before="40" w:line="320"/>
      </w:pPr>
      <w:r>
        <w:rPr>
          <w:rFonts w:ascii="Arial" w:cs="Arial" w:eastAsia="Arial" w:hAnsi="Arial"/>
          <w:sz w:val="22"/>
          <w:szCs w:val="22"/>
        </w:rPr>
        <w:t xml:space="preserve">[18] Varopichetsan, S. et al. (2025). Short-term exposure to fine particulate matter and asthma exacerbation: a large population-based case-crossover study in Southern Thailand. Environmental Health.</w:t>
      </w:r>
    </w:p>
    <w:p>
      <w:pPr>
        <w:pStyle w:val="ListParagraph"/>
        <w:numPr>
          <w:ilvl w:val="0"/>
          <w:numId w:val="3"/>
        </w:numPr>
        <w:spacing w:after="80" w:before="40" w:line="320"/>
      </w:pPr>
      <w:r>
        <w:rPr>
          <w:rFonts w:ascii="Arial" w:cs="Arial" w:eastAsia="Arial" w:hAnsi="Arial"/>
          <w:sz w:val="22"/>
          <w:szCs w:val="22"/>
        </w:rPr>
        <w:t xml:space="preserve">[19] Zhang, Y. et al. (2023). The relationship between PM2.5 and the onset and exacerbation of childhood asthma. Frontiers in Pediatrics. 17 citations.</w:t>
      </w:r>
    </w:p>
    <w:p>
      <w:pPr>
        <w:pStyle w:val="ListParagraph"/>
        <w:numPr>
          <w:ilvl w:val="0"/>
          <w:numId w:val="3"/>
        </w:numPr>
        <w:spacing w:after="80" w:before="40" w:line="320"/>
      </w:pPr>
      <w:r>
        <w:rPr>
          <w:rFonts w:ascii="Arial" w:cs="Arial" w:eastAsia="Arial" w:hAnsi="Arial"/>
          <w:sz w:val="22"/>
          <w:szCs w:val="22"/>
        </w:rPr>
        <w:t xml:space="preserve">[20] Anwar, M. N. et al. (2021). Emerging challenges of air pollution and particulate matter in China, India, and Pakistan. Journal of Hazardous Materials. 153 citations.</w:t>
      </w:r>
    </w:p>
    <w:p>
      <w:pPr>
        <w:pStyle w:val="ListParagraph"/>
        <w:numPr>
          <w:ilvl w:val="0"/>
          <w:numId w:val="3"/>
        </w:numPr>
        <w:spacing w:after="80" w:before="40" w:line="320"/>
      </w:pPr>
      <w:r>
        <w:rPr>
          <w:rFonts w:ascii="Arial" w:cs="Arial" w:eastAsia="Arial" w:hAnsi="Arial"/>
          <w:sz w:val="22"/>
          <w:szCs w:val="22"/>
        </w:rPr>
        <w:t xml:space="preserve">[21] Schwarz, M. et al. (2023). Impact of ultrafine particles and total particle number concentration on cause-specific hospital admission endpoints in three German cities. Environment International. 10 citations.</w:t>
      </w:r>
    </w:p>
    <w:p>
      <w:pPr>
        <w:pStyle w:val="ListParagraph"/>
        <w:numPr>
          <w:ilvl w:val="0"/>
          <w:numId w:val="3"/>
        </w:numPr>
        <w:spacing w:after="80" w:before="40" w:line="320"/>
      </w:pPr>
      <w:r>
        <w:rPr>
          <w:rFonts w:ascii="Arial" w:cs="Arial" w:eastAsia="Arial" w:hAnsi="Arial"/>
          <w:sz w:val="22"/>
          <w:szCs w:val="22"/>
        </w:rPr>
        <w:t xml:space="preserve">[22] Virtanen, P. et al. (2020). SciPy 1.0: Fundamental algorithms for scientific computing in Python. Nature Methods, 17, 261–272.</w:t>
      </w:r>
    </w:p>
    <w:p>
      <w:pPr>
        <w:pStyle w:val="ListParagraph"/>
        <w:numPr>
          <w:ilvl w:val="0"/>
          <w:numId w:val="3"/>
        </w:numPr>
        <w:spacing w:after="80" w:before="40" w:line="320"/>
      </w:pPr>
      <w:r>
        <w:rPr>
          <w:rFonts w:ascii="Arial" w:cs="Arial" w:eastAsia="Arial" w:hAnsi="Arial"/>
          <w:sz w:val="22"/>
          <w:szCs w:val="22"/>
        </w:rPr>
        <w:t xml:space="preserve">[23] World Health Organization. (2021). WHO Global Air Quality Guidelines: PM2.5 and PM10. WHO Press, Geneva.</w:t>
      </w:r>
    </w:p>
    <w:p>
      <w:pPr>
        <w:spacing w:after="80" w:before="0"/>
      </w:pPr>
      <w:r>
        <w:t xml:space="preserve"/>
      </w:r>
    </w:p>
    <w:p>
      <w:pPr>
        <w:pBdr>
          <w:bottom w:val="single" w:color="2E75B6" w:sz="6" w:space="1"/>
        </w:pBdr>
        <w:spacing w:after="200" w:before="200"/>
      </w:pPr>
      <w:r>
        <w:t xml:space="preserve"/>
      </w:r>
    </w:p>
    <w:p>
      <w:pPr>
        <w:spacing w:after="80" w:before="0"/>
      </w:pPr>
      <w:r>
        <w:t xml:space="preserve"/>
      </w:r>
    </w:p>
    <w:p>
      <w:pPr>
        <w:spacing w:after="140" w:before="0" w:line="360"/>
        <w:jc w:val="both"/>
      </w:pPr>
      <w:r>
        <w:rPr>
          <w:rFonts w:ascii="Arial" w:cs="Arial" w:eastAsia="Arial" w:hAnsi="Arial"/>
          <w:b/>
          <w:bCs/>
          <w:sz w:val="22"/>
          <w:szCs w:val="22"/>
        </w:rPr>
        <w:t xml:space="preserve">Note on Figures: </w:t>
      </w:r>
      <w:r>
        <w:rPr>
          <w:rFonts w:ascii="Arial" w:cs="Arial" w:eastAsia="Arial" w:hAnsi="Arial"/>
          <w:i/>
          <w:iCs/>
          <w:sz w:val="22"/>
          <w:szCs w:val="22"/>
        </w:rPr>
        <w:t xml:space="preserve">This document is the written research paper. The accompanying interactive HTML version (</w:t>
      </w:r>
      <w:r>
        <w:rPr>
          <w:rFonts w:ascii="Arial" w:cs="Arial" w:eastAsia="Arial" w:hAnsi="Arial"/>
          <w:i/>
          <w:iCs/>
          <w:color w:val="2E75B6"/>
          <w:sz w:val="22"/>
          <w:szCs w:val="22"/>
        </w:rPr>
        <w:t xml:space="preserve">simara_interactive_research_paper.html</w:t>
      </w:r>
      <w:r>
        <w:rPr>
          <w:rFonts w:ascii="Arial" w:cs="Arial" w:eastAsia="Arial" w:hAnsi="Arial"/>
          <w:i/>
          <w:iCs/>
          <w:sz w:val="22"/>
          <w:szCs w:val="22"/>
        </w:rPr>
        <w:t xml:space="preserve">) contains all eight interactive charts and the calendar heatmap referenced throughout this paper as Figures 1–8.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595959"/>
        <w:sz w:val="16"/>
        <w:szCs w:val="16"/>
      </w:rPr>
      <w:t xml:space="preserve">Simara Air Quality Research  |  January–December 2025  |  AQI &amp; PM2.5: Real Data  |  Health Visits: Synthetic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95959"/>
        <w:sz w:val="18"/>
        <w:szCs w:val="18"/>
      </w:rPr>
      <w:t xml:space="preserve">PM2.5 &amp; Respiratory Morbidity: Simara Case Study,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2026-04-13T05:17:48.059Z</dcterms:created>
  <dcterms:modified xsi:type="dcterms:W3CDTF">2026-04-13T05:17:48.061Z</dcterms:modified>
</cp:coreProperties>
</file>

<file path=docProps/custom.xml><?xml version="1.0" encoding="utf-8"?>
<Properties xmlns="http://schemas.openxmlformats.org/officeDocument/2006/custom-properties" xmlns:vt="http://schemas.openxmlformats.org/officeDocument/2006/docPropsVTypes"/>
</file>