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-692150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459pt;margin-top:-54.5pt;height:144pt;width:144pt;mso-wrap-style:none;z-index:251659264;mso-width-relative:page;mso-height-relative:page;" filled="f" stroked="f" coordsize="21600,21600" o:gfxdata="UEsDBAoAAAAAAIdO4kAAAAAAAAAAAAAAAAAEAAAAZHJzL1BLAwQUAAAACACHTuJABP8KLNcAAAAN&#10;AQAADwAAAGRycy9kb3ducmV2LnhtbE2PzU7DMBCE70i8g7VI3Fo7EZQkxOmhwBkoPIAbL3FIvI5i&#10;9weenu2J3mZ3R7Pf1OuTH8UB59gH0pAtFQikNtieOg2fHy+LAkRMhqwZA6GGH4ywbq6valPZcKR3&#10;PGxTJziEYmU0uJSmSsrYOvQmLsOExLevMHuTeJw7aWdz5HA/ylyplfSmJ/7gzIQbh+2w3XsNhfKv&#10;w1Dmb9Hf/Wb3bvMUnqdvrW9vMvUIIuEp/ZvhjM/o0DDTLuzJRjFqKLOCuyQNi0yVrM6WXK1Y7Vg9&#10;8Eo2tbxs0fwBUEsDBBQAAAAIAIdO4kADrDc0fwIAABEFAAAOAAAAZHJzL2Uyb0RvYy54bWytVE1v&#10;2zAMvQ/YfxB0Xx3nY82COkXWItuAYi3WDjsrshwLkCVBYhJ3v35PtpNm3Q477GLzy4/kI+mr67Yx&#10;bK9C1M4WPL8YcaasdKW224J/f1q/m3MWSdhSGGdVwZ9V5NfLt2+uDn6hxq52plSBAcTGxcEXvCby&#10;iyyLslaNiBfOKwtn5UIjCGrYZmUQB6A3JhuPRu+zgwulD06qGGG97Z18QAz/AuiqSkt16+SuUZZ6&#10;1KCMILQUa+0jX3bVVpWSdF9VUREzBUen1D2RBPImPbPllVhsg/C1lkMJ4l9KeNVTI7RF0hPUrSDB&#10;dkH/AdVoGVx0FV1I12R9Ix0j6CIfveLmsRZedb2A6uhPpMf/Byu/7h8C02XB55fT6Ww6mUw5s6LB&#10;4J9US+yja1meWDr4uEDwo0c4tTBjd472CGNqvq1Ck95oi8EPjp9PHCcwmT6aj+fzEVwSvqMC/Ozl&#10;cx8ifVKuYUkoeMAQO27F/i5SH3oMSdmsW2tjukEa+5sBmMmSpdr7GpNE7aYdGtq48hn9BNfvRfRy&#10;rZHzTkR6EAGLgDpxKnSPR2XcoeBukDirXfj5N3uKx3zg5eyAxSq4xR1xZr5YzO1DPp0ClDplOrsc&#10;Qwnnns25x+6aG4fNzXGSXnZiiidzFKvgmh+4p1XKCZewEpkLTkfxhvplxz1KtVp1Qdg8L+jOPnqZ&#10;oBNl0a92BB4TvdCksmpSJlFiFYIYJuEC1W44lnVwlvrzMXpb0ze9ZUHjF0J1UOoBBZS6K6Qf2Blk&#10;9JOSYR3CLv2CPhd8dpnPRl0ZG7VX5omB58k8T0tSn6R+F4TdGpWyYrQJZxhuP8dBwaV0/qHQdIrn&#10;ehf18idb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/wos1wAAAA0BAAAPAAAAAAAAAAEAIAAA&#10;ACIAAABkcnMvZG93bnJldi54bWxQSwECFAAUAAAACACHTuJAA6w3NH8CAAARBQAADgAAAAAAAAAB&#10;ACAAAAAmAQAAZHJzL2Uyb0RvYy54bWxQSwUGAAAAAAYABgBZAQAAFwY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  <w:lang w:val="th-TH" w:bidi="th-TH"/>
        </w:rPr>
        <w:t>องค์ความรู้ด้าน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th-TH" w:bidi="th-TH"/>
        </w:rPr>
        <w:t>การตรวจทางนิติจิตเวช</w:t>
      </w:r>
    </w:p>
    <w:p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การตรวจทางนิติจิตเวช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Psychiatry Examination)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บทนำ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Introduction)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การตรวจทางนิติจิตเวชเป็นการประเมินสภาพจิตใจของบุคคลที่เกี่ยวข้องกับคดีอาญาหรือคดีแพ่ง เพื่อหาข้อสรุปเกี่ยวกับความสามารถในการรับผิดชอบทางกฎหมายหรือพฤติกรรมที่เกี่ยวข้องกับการก่อเหตุ การตรวจนี้ดำเนินการโดยจิตแพทย์ผู้เชี่ยวชาญด้านนิติจิตเวช ซึ่งทำหน้าที่ประเมินว่าผู้ต้องสงสัยหรือผู้เกี่ยวข้องกับคดีมีความสามารถในการเข้าใจผลที่ตามมา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จากการกระทำของตนหรือไม่ การตรวจทางนิติจิตเวชมีบทบาทสำคัญในการตัดสินความรับผิดชอบทางกฎหมาย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และในกระบวนการยุติธรรม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วัตถุประสงค์ของการตรวจทางนิติจิตเวช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Purpose of Forensic Psychiatry Examination)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จิตเวชมีวัตถุประสงค์หลักในการตรวจสอบสภาพจิตใจของผู้ต้องสงสัยหรือบุคคลที่เกี่ยวข้อง เพื่อพิจารณา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ว่าบุคคลนั้น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มีความสามารถในการรับผิดชอบต่อการกระทำของตนหรือไม่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อยู่ในสภาพจิตใจที่ปกติขณะก่อเหตุหรือไม่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มีความสามารถในการเข้ารับการพิจารณาคดีในศาลหรือไม่</w:t>
      </w:r>
    </w:p>
    <w:p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มีอาการทางจิตที่อาจเป็นเหตุให้เกิดการกระทำผิดหรือไม่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ประเภทของการตรวจทางนิติจิตเวช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Types of Forensic Psychiatry Examinations)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การตรวจทางนิติจิตเวชสามารถแบ่งออกเป็นหลายประเภท ขึ้นอยู่กับลักษณะของคดี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การตรวจสอบความสามารถในการรับผิดชอบทางกฎหมาย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Competency to Stand Trial):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นี้มีวัตถุประสงค์เพื่อประเมินว่าผู้ต้องสงสัยมีความสามารถในการเข้าใจข้อกล่าวหาและรับรู้กระบวนการ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ทางกฎหมายหรือไม่ 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การประเมินความรับผิดชอบทางอาญา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Criminal Responsibility Evaluation):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การตรวจนี้ใช้เพื่อพิจารณาว่าผู้ต้องสงสัยมีสภาพจิตใจปกติในขณะก่อเหตุหรือไม่ หากผู้ต้องสงสัยมีอาการป่วยทางจิตในขณะก่อเหตุและไม่สามารถเข้าใจว่าการกระทำนั้นผิด 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การประเมินความเสี่ยงในการกระทำความผิดซ้ำ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Risk Assessment):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การตรวจนี้ประเมินความเสี่ยงที่บุคคลจะกระทำความผิดซ้ำในอนาคต โดยใช้ข้อมูลจากประวัติการรักษาทางจิต 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การประเมินพฤติกรรมในอดีต และสภาพจิตใจในปัจจุบัน</w:t>
      </w:r>
    </w:p>
    <w:p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การประเมินสภาพจิตใจในคดีแพ่ง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Civil Forensic Psychiatry Evaluation):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การตรวจนี้เกี่ยวข้องกับคดีแพ่ง เช่น การประเมินสภาพจิตใจของบุคคลในการทำสัญญา หรือความสามารถ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ในการจัดการทรัพย์สินของตน ในกรณีที่มีข้อสงสัยเกี่ยวกับสภาพจิตใจของบุคคลที่เกี่ยวข้อง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กระบวนการตรวจทางนิติจิตเวช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Forensic Psychiatry Examination Process)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การตรวจทางนิติจิตเวชเป็นกระบวนการที่ต้องใช้ความละเอียดอ่อนในการประเมินสภาพจิตใจของบุคคล โดยมีขั้นตอนหลักดังนี้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การสัมภาษณ์ผู้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ร้องขอรับบริการ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Interview with the Subject):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จิตแพทย์จะสัมภาษณ์ผู้ต้องสงสัยหรือบุคคลที่เกี่ยวข้องเพื่อประเมินสภาพจิตใจและสภาพอารมณ์ คำถามที่ใช้ในการสัมภาษณ์จะครอบคลุมถึงประวัติสุขภาพจิต ประวัติครอบครัว พฤติกรรม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ต่างเพื่อเข้าใจรายละเอียด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การประเมินพฤติกรรมและอาการทางจิต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Behavioral and Psychiatric Symptom Assessment):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แพทย์จะสังเกตพฤติกรรมของบุคคล เช่น การแสดงออกทางอารมณ์ การใช้ภาษา และความสามารถในการเข้าใจและตอบสนองต่อคำถาม นอกจากนี้ แพทย์จะประเมินว่าบุคคล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รู้สึกไม่สบายใจ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หรือมีภาวะการเจ็บป่วยทางจิตใจหรือไม่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เช่น ภาวะซึมเศร้า โรคจิตเภท หรือความผิดปกติทางบุคลิกภาพ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การทดสอบทางจิตวิทยา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Psychological Testing):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การทดสอบทางจิตวิทยาอาจถูกนำมาใช้ในการประเมินความสามารถทางสติปัญญา ความจำ และความสามารถในการตัดสินใจ การทดสอบทางจิตวิทยานี้อาจช่วยในการพิจารณา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ราย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บุคคล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เพื่อพิจารณารายละเอียดความเข้าใจ ถึงกลไกที่มีมาของปัญหาการก่อคดี เพื่อเป็นการประกอบการพิจารณาคดี การส่งต่อรักษา และการให้ความช่วยเหลือพิจารณาตามความเหมาะสม </w:t>
      </w:r>
    </w:p>
    <w:p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การตรวจสอบประวัติทางการแพทย์และการรักษาทางจิต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Medical and Psychiatric History Review):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พทย์จะตรวจสอบประวัติทางการแพทย์และการรักษาทางจิตของบุคคลเพื่อดูว่ามีการรักษาหรือประสบกับภาวะจิตเวชมาก่อนหรือไม่ ข้อมูลนี้จะช่วยในการประเมินว่าบุคคลมีความผิดปกติทางจิตที่เกี่ยวข้องกับการ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กรทำความผิดมากน้อยเพียงใด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เครื่องมือและเทคนิคที่ใช้ในการตรวจทางนิติจิตเวช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Tools and Techniques for Forensic Psychiatry)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การตรวจทางนิติจิตเวชใช้เครื่องมือและเทคนิคหลากหลายเพื่อประเมินสภาพจิตใจของบุคคล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แบบสอบถามและการทดสอบทางจิตวิทยา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Psychological Questionnaires and Tests):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แบบสอบถามและการทดสอบต่าง ๆ เช่น การทดสอบ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ความสามารถทางเชาวน์ปัญญา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การทดสอบ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บุคลิกภาพ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การประเมินสุขภาพจิต การทดสอบพยาธิสภาพทางสมอง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เพื่อสืบค้นข้อเท็จจริงรายบุคคล</w:t>
      </w:r>
    </w:p>
    <w:p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การสังเกตพฤติกรรม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Behavioral Observation):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การสังเกตพฤติกรรมและการแสดงออกทางอารมณ์ของบุคคลในระหว่างการสัมภาษณ์หรือการทดสอบจิตวิทยาจะช่วย</w:t>
      </w:r>
      <w:r>
        <w:rPr>
          <w:rFonts w:ascii="TH SarabunPSK" w:hAnsi="TH SarabunPSK" w:cs="TH SarabunPSK"/>
          <w:sz w:val="32"/>
          <w:szCs w:val="32"/>
          <w:cs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ในการประเมินว่าบุคคลมี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รายละเอียด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อารมณ์ ความคิด พฤติกรรมอันเป็นเหตุให้เกิดการก่อคดีหรือไม่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การใช้ผลการตรวจทางนิติจิตเวชในกระบวนการยุติธรรม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Use of Forensic Psychiatry Examination Results in Legal Proceedings)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ผลการตรวจทางนิติจิตเวชสามารถใช้เป็นหลักฐานในการพิจารณาคดีอาญาและคดีแพ่ง หากแพทย์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จิตแพทย์และสหวิชาชีพ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พบว่าผู้ต้องสงสัย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พิจารณาตามความเหมาะสมเกี่ยวกับปัญหา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ส่งตัวเข้ารับการรักษาทางจิตในสถานพยาบาล ผลการตร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วจนิติจิตเวช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ยังสามารถใช้ในการพิจารณาความสามารถในการทำสัญญาหรือการดูแลทรัพย์สินในคดีแพ่ง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กรณีศึกษาที่เกี่ยวข้องกับการตรวจทางนิติจิตเวช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Case Studies)</w:t>
      </w:r>
      <w:r>
        <w:rPr>
          <w:rFonts w:ascii="TH SarabunPSK" w:hAnsi="TH SarabunPSK" w:cs="TH SarabunPSK"/>
          <w:sz w:val="32"/>
          <w:szCs w:val="32"/>
        </w:rPr>
        <w:br w:type="textWrapping"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การตรวจทางนิติจิตเวชมีบทบาทสำคัญในคดีที่เกี่ยวข้องกับพฤติกรรมที่ไม่ปกติ เช่น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  <w:bookmarkStart w:id="0" w:name="_GoBack"/>
      <w:bookmarkEnd w:id="0"/>
    </w:p>
    <w:p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คดีฆาตกรรมที่เกี่ยวข้องกับความเจ็บป่วย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ด้านจิตใจ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การตรวจสภาพจิตใจของผู้ต้องสงสัยที่มีประวัติการเจ็บป่วยทางจิต เช่น โรคจิตเภท เพื่อพิจารณาว่าผู้ต้องสงสัยมีความสามารถในการรับผิดชอบต่อการกระทำของตนหรือไม่</w:t>
      </w:r>
    </w:p>
    <w:p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คดีความรุนแรงในครอบครัว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การประเมินสภาพจิตใจของผู้กระทำผิดในคดีความรุนแรงทางครอบครัว เพื่อพิจารณาความเสี่ยงที่บุคคลจะกระทำความผิดซ้ำ</w:t>
      </w:r>
    </w:p>
    <w:p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คดีแพ่งเกี่ยวกับความสามารถในการทำสัญญา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การประเมินสภาพจิตใจของบุคคลที่เกี่ยวข้องกับการทำสัญญาหรือการจัดการทรัพย์สิน เพื่อดูว่าบุคคลนั้นมีความสามารถในการตัดสินใจอย่างมีเหตุผลหรือไม่</w:t>
      </w:r>
    </w:p>
    <w:p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>
      <w:footerReference r:id="rId5" w:type="default"/>
      <w:pgSz w:w="12240" w:h="15840"/>
      <w:pgMar w:top="1276" w:right="616" w:bottom="568" w:left="993" w:header="720" w:footer="1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8604956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02A29"/>
    <w:multiLevelType w:val="multilevel"/>
    <w:tmpl w:val="0D702A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B224C9"/>
    <w:multiLevelType w:val="multilevel"/>
    <w:tmpl w:val="2EB22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F2317C7"/>
    <w:multiLevelType w:val="multilevel"/>
    <w:tmpl w:val="5F231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9EF4ADA"/>
    <w:multiLevelType w:val="multilevel"/>
    <w:tmpl w:val="69EF4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5225931"/>
    <w:multiLevelType w:val="multilevel"/>
    <w:tmpl w:val="75225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6"/>
    <w:rsid w:val="000044D7"/>
    <w:rsid w:val="00014B71"/>
    <w:rsid w:val="0008285D"/>
    <w:rsid w:val="000960F6"/>
    <w:rsid w:val="001400E6"/>
    <w:rsid w:val="001A7193"/>
    <w:rsid w:val="001C470C"/>
    <w:rsid w:val="001D78D0"/>
    <w:rsid w:val="001F2F18"/>
    <w:rsid w:val="001F5188"/>
    <w:rsid w:val="002321F3"/>
    <w:rsid w:val="0031285F"/>
    <w:rsid w:val="003C21D4"/>
    <w:rsid w:val="003C3F6A"/>
    <w:rsid w:val="003C5641"/>
    <w:rsid w:val="003E490A"/>
    <w:rsid w:val="003E5D87"/>
    <w:rsid w:val="00426569"/>
    <w:rsid w:val="00467980"/>
    <w:rsid w:val="004844E5"/>
    <w:rsid w:val="004A0D15"/>
    <w:rsid w:val="004C2A31"/>
    <w:rsid w:val="00501776"/>
    <w:rsid w:val="005029A2"/>
    <w:rsid w:val="0052764B"/>
    <w:rsid w:val="00531854"/>
    <w:rsid w:val="005B3319"/>
    <w:rsid w:val="006E751C"/>
    <w:rsid w:val="00727B2B"/>
    <w:rsid w:val="00740E88"/>
    <w:rsid w:val="00762B9C"/>
    <w:rsid w:val="00767261"/>
    <w:rsid w:val="007C01EB"/>
    <w:rsid w:val="007C21EC"/>
    <w:rsid w:val="007C6AC6"/>
    <w:rsid w:val="00812F1C"/>
    <w:rsid w:val="00827632"/>
    <w:rsid w:val="00956A68"/>
    <w:rsid w:val="00972189"/>
    <w:rsid w:val="0098736F"/>
    <w:rsid w:val="00A2501A"/>
    <w:rsid w:val="00AB184B"/>
    <w:rsid w:val="00AC3B17"/>
    <w:rsid w:val="00B00B25"/>
    <w:rsid w:val="00B037D2"/>
    <w:rsid w:val="00B840F2"/>
    <w:rsid w:val="00B90B34"/>
    <w:rsid w:val="00BC2D1F"/>
    <w:rsid w:val="00C2405A"/>
    <w:rsid w:val="00C33F06"/>
    <w:rsid w:val="00CD1823"/>
    <w:rsid w:val="00D03B45"/>
    <w:rsid w:val="00D23AF3"/>
    <w:rsid w:val="00D8108F"/>
    <w:rsid w:val="00D92260"/>
    <w:rsid w:val="00DF4728"/>
    <w:rsid w:val="00E34A39"/>
    <w:rsid w:val="00E47797"/>
    <w:rsid w:val="00EB2E05"/>
    <w:rsid w:val="00EF6FC0"/>
    <w:rsid w:val="00FE3F63"/>
    <w:rsid w:val="09D22938"/>
    <w:rsid w:val="100B25BC"/>
    <w:rsid w:val="19B21D37"/>
    <w:rsid w:val="1FB164B4"/>
    <w:rsid w:val="306B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875</Words>
  <Characters>4272</Characters>
  <Lines>61</Lines>
  <Paragraphs>26</Paragraphs>
  <TotalTime>43</TotalTime>
  <ScaleCrop>false</ScaleCrop>
  <LinksUpToDate>false</LinksUpToDate>
  <CharactersWithSpaces>5121</CharactersWithSpaces>
  <Application>WPS Office_11.2.0.10694_F1E327BC-269C-435d-A152-05C5408002CA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2024-09-24T18:57:00Z</dcterms:created>
  <dc:creator>Natthalak Pakdeenarong</dc:creator>
  <cp:lastModifiedBy>Natthalak Pakdeenarong</cp:lastModifiedBy>
  <dcterms:modified xsi:type="dcterms:W3CDTF">2024-10-07T06:04:52Z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1033-11.2.0.10694</vt:lpwstr>
  </property>
  <property fmtid="{D5CDD505-2E9C-101B-9397-08002B2CF9AE}" pid="3" name="ICV">
    <vt:lpwstr>20C4D2781A3048F38D2DF814E18035B6</vt:lpwstr>
  </property>
</Properties>
</file>