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2A44"/>
          <w:sz w:val="56"/>
          <w:szCs w:val="56"/>
        </w:rPr>
        <w:t xml:space="preserve">CIVIC TICKET</w:t>
      </w:r>
    </w:p>
    <w:p>
      <w:pPr>
        <w:spacing w:after="600"/>
        <w:jc w:val="center"/>
      </w:pPr>
      <w:r>
        <w:rPr>
          <w:color w:val="5F5E5A"/>
          <w:sz w:val="26"/>
          <w:szCs w:val="26"/>
        </w:rPr>
        <w:t xml:space="preserve">Public Works &amp; Complaint Registry — Ward-level Civic Complaint Management System</w:t>
      </w:r>
    </w:p>
    <w:p>
      <w:pPr>
        <w:pBdr>
          <w:bottom w:val="single" w:color="C1501F" w:sz="12" w:space="1"/>
        </w:pBdr>
        <w:spacing w:after="600"/>
      </w:pPr>
    </w:p>
    <w:p>
      <w:pPr>
        <w:spacing w:after="120"/>
        <w:jc w:val="center"/>
      </w:pPr>
      <w:r>
        <w:rPr>
          <w:b/>
          <w:bCs/>
          <w:color w:val="1F2A44"/>
          <w:sz w:val="30"/>
          <w:szCs w:val="30"/>
        </w:rPr>
        <w:t xml:space="preserve">PROJECT REPORT</w:t>
      </w:r>
    </w:p>
    <w:p>
      <w:pPr>
        <w:jc w:val="center"/>
      </w:pPr>
      <w:r>
        <w:rPr>
          <w:color w:val="5F5E5A"/>
          <w:sz w:val="20"/>
          <w:szCs w:val="20"/>
        </w:rPr>
        <w:t xml:space="preserve">Sections: Abstract · System Architecture · Architecture Drawings · Data Dictionary · Design Patterns</w:t>
      </w:r>
    </w:p>
    <w:p>
      <w:pPr>
        <w:sectPr>
          <w:pgSz w:w="11906" w:h="16838" w:orient="portrait"/>
          <w:pgMar w:top="1440" w:right="1440" w:bottom="1440" w:left="1440" w:header="708" w:footer="708" w:gutter="0"/>
          <w:pgNumType/>
          <w:docGrid w:linePitch="360"/>
        </w:sectPr>
      </w:pPr>
    </w:p>
    <w:p>
      <w:pPr>
        <w:pStyle w:val="Heading1"/>
        <w:spacing w:after="160" w:before="360"/>
      </w:pPr>
      <w:r>
        <w:t xml:space="preserve">1. Abstract</w:t>
      </w:r>
    </w:p>
    <w:p>
      <w:pPr>
        <w:spacing w:after="180" w:line="300"/>
      </w:pPr>
      <w:r>
        <w:rPr>
          <w:sz w:val="22"/>
          <w:szCs w:val="22"/>
        </w:rPr>
        <w:t xml:space="preserve">Civic Ticket is a web-based civic complaint management system designed to bridge the communication gap between citizens and municipal ward authorities in addressing everyday public infrastructure issues such as potholes, overflowing garbage bins, faulty streetlights, and water supply disruptions. Traditional complaint redressal in most wards relies on phone calls, in-person visits, or informal channels, which offer no visibility into whether an issue has been acknowledged, who is responsible for it, or how long it has been pending — leading to duplicated complaints, delayed action, and citizen distrust in civic bodies.</w:t>
      </w:r>
    </w:p>
    <w:p>
      <w:pPr>
        <w:spacing w:after="180" w:line="300"/>
      </w:pPr>
      <w:r>
        <w:rPr>
          <w:sz w:val="22"/>
          <w:szCs w:val="22"/>
        </w:rPr>
        <w:t xml:space="preserve">The proposed system allows any citizen to file a complaint with a title, category, description, photograph, and a precise location marked on an interactive ward map. Before submission, the system checks for existing nearby reports of the same category and nudges the citizen to upvote a duplicate instead of fragmenting the record. Filed complaints appear on a public board where residents can upvote issues to signal urgency, comment with additional context, and track status through three stages — Open, In Progress, and Resolved.</w:t>
      </w:r>
    </w:p>
    <w:p>
      <w:pPr>
        <w:spacing w:after="180" w:line="300"/>
      </w:pPr>
      <w:r>
        <w:rPr>
          <w:sz w:val="22"/>
          <w:szCs w:val="22"/>
        </w:rPr>
        <w:t xml:space="preserve">On the administrative side, the system enforces category-specific service-level timelines and automatically escalates unresolved complaints through a review, ward-officer, and commissioner tier as they age, so nothing quietly falls through the cracks. Ward staff, authenticated via a passcode-protected panel, can assign complaints to specific officers, update statuses, attach a resolution-proof photograph, and export the full complaint register as CSV for offline reporting. A dedicated analytics dashboard gives administrators a real-time ledger of total complaints, resolution rate, average resolution time, citizen satisfaction ratings, category and status breakdowns, and a 14-day filing trend, while a lightweight polling mechanism keeps the shared board synchronized across concurrent users.</w:t>
      </w:r>
    </w:p>
    <w:p>
      <w:pPr>
        <w:spacing w:after="180" w:line="300"/>
      </w:pPr>
      <w:r>
        <w:rPr>
          <w:sz w:val="22"/>
          <w:szCs w:val="22"/>
        </w:rPr>
        <w:t xml:space="preserve">By combining transparent public tracking, automated accountability through SLA-based escalation, and data-driven administrative oversight, Civic Ticket aims to reduce complaint resolution time, improve civic accountability, and rebuild citizen trust in local governance.</w:t>
      </w:r>
    </w:p>
    <w:p>
      <w:pPr>
        <w:pStyle w:val="Heading1"/>
        <w:spacing w:after="160" w:before="360"/>
      </w:pPr>
      <w:r>
        <w:t xml:space="preserve">2. System Architecture</w:t>
      </w:r>
    </w:p>
    <w:p>
      <w:pPr>
        <w:spacing w:after="180" w:line="300"/>
      </w:pPr>
      <w:r>
        <w:rPr>
          <w:sz w:val="22"/>
          <w:szCs w:val="22"/>
        </w:rPr>
        <w:t xml:space="preserve">Civic Ticket follows a layered, client-only architecture — the entire application runs inside the user's browser as a single-page React app, with a hosted key-value storage service standing in for a traditional application server and database. There is no separate backend codebase to deploy or maintain; the browser is both the client and the orchestrator of all business logic.</w:t>
      </w:r>
    </w:p>
    <w:p>
      <w:pPr>
        <w:pStyle w:val="Heading2"/>
        <w:spacing w:after="120" w:before="240"/>
      </w:pPr>
      <w:r>
        <w:t xml:space="preserve">2.1 Presentation Layer</w:t>
      </w:r>
    </w:p>
    <w:p>
      <w:pPr>
        <w:spacing w:after="90" w:line="280"/>
      </w:pPr>
      <w:r>
        <w:rPr>
          <w:sz w:val="22"/>
          <w:szCs w:val="22"/>
        </w:rPr>
        <w:t xml:space="preserve">Reusable React components responsible purely for rendering and capturing user interaction — this layer contains no business rules.</w:t>
      </w:r>
    </w:p>
    <w:p>
      <w:pPr>
        <w:pStyle w:val="ListParagraph"/>
        <w:numPr>
          <w:ilvl w:val="0"/>
          <w:numId w:val="1"/>
        </w:numPr>
        <w:spacing w:after="90" w:line="280"/>
      </w:pPr>
      <w:r>
        <w:rPr>
          <w:sz w:val="22"/>
          <w:szCs w:val="22"/>
        </w:rPr>
        <w:t xml:space="preserve">Submission form — captures title, category, description, photo, and a map-based location pin</w:t>
      </w:r>
    </w:p>
    <w:p>
      <w:pPr>
        <w:pStyle w:val="ListParagraph"/>
        <w:numPr>
          <w:ilvl w:val="0"/>
          <w:numId w:val="1"/>
        </w:numPr>
        <w:spacing w:after="90" w:line="280"/>
      </w:pPr>
      <w:r>
        <w:rPr>
          <w:sz w:val="22"/>
          <w:szCs w:val="22"/>
        </w:rPr>
        <w:t xml:space="preserve">Public board — renders the ticket list/map views with search, filter, and sort controls</w:t>
      </w:r>
    </w:p>
    <w:p>
      <w:pPr>
        <w:pStyle w:val="ListParagraph"/>
        <w:numPr>
          <w:ilvl w:val="0"/>
          <w:numId w:val="1"/>
        </w:numPr>
        <w:spacing w:after="90" w:line="280"/>
      </w:pPr>
      <w:r>
        <w:rPr>
          <w:sz w:val="22"/>
          <w:szCs w:val="22"/>
        </w:rPr>
        <w:t xml:space="preserve">Analytics ledger — renders summary statistics and breakdown charts</w:t>
      </w:r>
    </w:p>
    <w:p>
      <w:pPr>
        <w:pStyle w:val="ListParagraph"/>
        <w:numPr>
          <w:ilvl w:val="0"/>
          <w:numId w:val="1"/>
        </w:numPr>
        <w:spacing w:after="90" w:line="280"/>
      </w:pPr>
      <w:r>
        <w:rPr>
          <w:sz w:val="22"/>
          <w:szCs w:val="22"/>
        </w:rPr>
        <w:t xml:space="preserve">Admin panel — a passcode-gated interface for status updates, officer assignment, and CSV export</w:t>
      </w:r>
    </w:p>
    <w:p>
      <w:pPr>
        <w:pStyle w:val="Heading2"/>
        <w:spacing w:after="120" w:before="240"/>
      </w:pPr>
      <w:r>
        <w:t xml:space="preserve">2.2 Application (Logic) Layer</w:t>
      </w:r>
    </w:p>
    <w:p>
      <w:pPr>
        <w:spacing w:after="90" w:line="280"/>
      </w:pPr>
      <w:r>
        <w:rPr>
          <w:sz w:val="22"/>
          <w:szCs w:val="22"/>
        </w:rPr>
        <w:t xml:space="preserve">Holds the system's decision-making logic, implemented through React state and handler functions.</w:t>
      </w:r>
    </w:p>
    <w:p>
      <w:pPr>
        <w:pStyle w:val="ListParagraph"/>
        <w:numPr>
          <w:ilvl w:val="0"/>
          <w:numId w:val="1"/>
        </w:numPr>
        <w:spacing w:after="90" w:line="280"/>
      </w:pPr>
      <w:r>
        <w:rPr>
          <w:sz w:val="22"/>
          <w:szCs w:val="22"/>
        </w:rPr>
        <w:t xml:space="preserve">Computing category-specific SLA escalation tiers based on complaint age</w:t>
      </w:r>
    </w:p>
    <w:p>
      <w:pPr>
        <w:pStyle w:val="ListParagraph"/>
        <w:numPr>
          <w:ilvl w:val="0"/>
          <w:numId w:val="1"/>
        </w:numPr>
        <w:spacing w:after="90" w:line="280"/>
      </w:pPr>
      <w:r>
        <w:rPr>
          <w:sz w:val="22"/>
          <w:szCs w:val="22"/>
        </w:rPr>
        <w:t xml:space="preserve">Calculating a priority score (escalation weight + upvotes) to rank the admin work queue</w:t>
      </w:r>
    </w:p>
    <w:p>
      <w:pPr>
        <w:pStyle w:val="ListParagraph"/>
        <w:numPr>
          <w:ilvl w:val="0"/>
          <w:numId w:val="1"/>
        </w:numPr>
        <w:spacing w:after="90" w:line="280"/>
      </w:pPr>
      <w:r>
        <w:rPr>
          <w:sz w:val="22"/>
          <w:szCs w:val="22"/>
        </w:rPr>
        <w:t xml:space="preserve">Detecting duplicate nearby complaints before submission</w:t>
      </w:r>
    </w:p>
    <w:p>
      <w:pPr>
        <w:pStyle w:val="ListParagraph"/>
        <w:numPr>
          <w:ilvl w:val="0"/>
          <w:numId w:val="1"/>
        </w:numPr>
        <w:spacing w:after="90" w:line="280"/>
      </w:pPr>
      <w:r>
        <w:rPr>
          <w:sz w:val="22"/>
          <w:szCs w:val="22"/>
        </w:rPr>
        <w:t xml:space="preserve">Filtering, sorting, and searching the complaint list</w:t>
      </w:r>
    </w:p>
    <w:p>
      <w:pPr>
        <w:pStyle w:val="ListParagraph"/>
        <w:numPr>
          <w:ilvl w:val="0"/>
          <w:numId w:val="1"/>
        </w:numPr>
        <w:spacing w:after="90" w:line="280"/>
      </w:pPr>
      <w:r>
        <w:rPr>
          <w:sz w:val="22"/>
          <w:szCs w:val="22"/>
        </w:rPr>
        <w:t xml:space="preserve">Reconciling updates from other users via periodic polling (“live sync”)</w:t>
      </w:r>
    </w:p>
    <w:p>
      <w:pPr>
        <w:pStyle w:val="Heading2"/>
        <w:spacing w:after="120" w:before="240"/>
      </w:pPr>
      <w:r>
        <w:t xml:space="preserve">2.3 Data (Persistence) Layer</w:t>
      </w:r>
    </w:p>
    <w:p>
      <w:pPr>
        <w:spacing w:after="90" w:line="280"/>
      </w:pPr>
      <w:r>
        <w:rPr>
          <w:sz w:val="22"/>
          <w:szCs w:val="22"/>
        </w:rPr>
        <w:t xml:space="preserve">Persistence is handled through a browser-accessible key-value storage API, split into two logical stores:</w:t>
      </w:r>
    </w:p>
    <w:p>
      <w:pPr>
        <w:pStyle w:val="ListParagraph"/>
        <w:numPr>
          <w:ilvl w:val="0"/>
          <w:numId w:val="1"/>
        </w:numPr>
        <w:spacing w:after="90" w:line="280"/>
      </w:pPr>
      <w:r>
        <w:rPr>
          <w:sz w:val="22"/>
          <w:szCs w:val="22"/>
        </w:rPr>
        <w:t xml:space="preserve">Shared registry — the complete public complaint dataset (status, upvotes, comments, photos, assignment, resolution proof), readable and writable by all users, making the board collaborative</w:t>
      </w:r>
    </w:p>
    <w:p>
      <w:pPr>
        <w:pStyle w:val="ListParagraph"/>
        <w:numPr>
          <w:ilvl w:val="0"/>
          <w:numId w:val="1"/>
        </w:numPr>
        <w:spacing w:after="90" w:line="280"/>
      </w:pPr>
      <w:r>
        <w:rPr>
          <w:sz w:val="22"/>
          <w:szCs w:val="22"/>
        </w:rPr>
        <w:t xml:space="preserve">Personal store — a private, per-user record of which ticket IDs the citizen has filed, used for “Filed by you” tags and “Only mine” filtering</w:t>
      </w:r>
    </w:p>
    <w:p>
      <w:pPr>
        <w:pStyle w:val="Heading2"/>
        <w:spacing w:after="120" w:before="240"/>
      </w:pPr>
      <w:r>
        <w:t xml:space="preserve">2.4 Data Flow</w:t>
      </w:r>
    </w:p>
    <w:p>
      <w:pPr>
        <w:spacing w:after="180" w:line="300"/>
      </w:pPr>
      <w:r>
        <w:rPr>
          <w:sz w:val="22"/>
          <w:szCs w:val="22"/>
        </w:rPr>
        <w:t xml:space="preserve">A citizen submits a report through the Presentation Layer → the Logic Layer validates it, checks for duplicates, and timestamps it → the record is written to the Shared registry in the Data Layer. The same record then flows back through the Logic Layer for escalation and priority calculation before being rendered on the Public Board and in Admin views. Status or assignment changes made by a ward officer follow the same round-trip, updating the Shared registry so all connected clients converge on the same state.</w:t>
      </w:r>
    </w:p>
    <w:p>
      <w:r>
        <w:br w:type="page"/>
      </w:r>
    </w:p>
    <w:p>
      <w:pPr>
        <w:pStyle w:val="Heading1"/>
        <w:spacing w:after="160" w:before="360"/>
      </w:pPr>
      <w:r>
        <w:t xml:space="preserve">3. Architecture Drawings</w:t>
      </w:r>
    </w:p>
    <w:p>
      <w:pPr>
        <w:spacing w:after="180" w:line="300"/>
      </w:pPr>
      <w:r>
        <w:rPr>
          <w:sz w:val="22"/>
          <w:szCs w:val="22"/>
        </w:rPr>
        <w:t xml:space="preserve">The following two drawings represent the system from complementary perspectives: how the code is structurally layered, and how data flows between the actors and the system.</w:t>
      </w:r>
    </w:p>
    <w:p>
      <w:pPr>
        <w:pStyle w:val="Heading2"/>
        <w:spacing w:after="120" w:before="240"/>
      </w:pPr>
      <w:r>
        <w:t xml:space="preserve">3.1 Layered System Architecture Diagram</w:t>
      </w:r>
    </w:p>
    <w:p>
      <w:pPr>
        <w:spacing w:after="80" w:before="120"/>
        <w:jc w:val="center"/>
      </w:pPr>
      <w:r>
        <w:drawing>
          <wp:inline distT="0" distB="0" distL="0" distR="0">
            <wp:extent cx="5524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62400"/>
                    </a:xfrm>
                    <a:prstGeom prst="rect">
                      <a:avLst/>
                    </a:prstGeom>
                  </pic:spPr>
                </pic:pic>
              </a:graphicData>
            </a:graphic>
          </wp:inline>
        </w:drawing>
      </w:r>
    </w:p>
    <w:p>
      <w:pPr>
        <w:spacing w:after="260"/>
        <w:jc w:val="center"/>
      </w:pPr>
      <w:r>
        <w:rPr>
          <w:i/>
          <w:iCs/>
          <w:color w:val="5F5E5A"/>
          <w:sz w:val="19"/>
          <w:szCs w:val="19"/>
        </w:rPr>
        <w:t xml:space="preserve">Figure 3.1 — Layered client-only architecture: Presentation and Logic layers inside the browser, backed by a Storage layer.</w:t>
      </w:r>
    </w:p>
    <w:p>
      <w:pPr>
        <w:pStyle w:val="Heading2"/>
        <w:spacing w:after="120" w:before="240"/>
      </w:pPr>
      <w:r>
        <w:t xml:space="preserve">3.2 Data Flow Diagram (Level 0 — Context Diagram)</w:t>
      </w:r>
    </w:p>
    <w:p>
      <w:pPr>
        <w:spacing w:after="80" w:before="120"/>
        <w:jc w:val="center"/>
      </w:pPr>
      <w:r>
        <w:drawing>
          <wp:inline distT="0" distB="0" distL="0" distR="0">
            <wp:extent cx="5524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95650"/>
                    </a:xfrm>
                    <a:prstGeom prst="rect">
                      <a:avLst/>
                    </a:prstGeom>
                  </pic:spPr>
                </pic:pic>
              </a:graphicData>
            </a:graphic>
          </wp:inline>
        </w:drawing>
      </w:r>
    </w:p>
    <w:p>
      <w:pPr>
        <w:spacing w:after="260"/>
        <w:jc w:val="center"/>
      </w:pPr>
      <w:r>
        <w:rPr>
          <w:i/>
          <w:iCs/>
          <w:color w:val="5F5E5A"/>
          <w:sz w:val="19"/>
          <w:szCs w:val="19"/>
        </w:rPr>
        <w:t xml:space="preserve">Figure 3.2 — Context-level DFD showing data exchanged between the Citizen, the Civic Ticket System process, the Ward Officer, and the complaint data store.</w:t>
      </w:r>
    </w:p>
    <w:p>
      <w:r>
        <w:br w:type="page"/>
      </w:r>
    </w:p>
    <w:p>
      <w:pPr>
        <w:pStyle w:val="Heading1"/>
        <w:spacing w:after="160" w:before="360"/>
      </w:pPr>
      <w:r>
        <w:t xml:space="preserve">4. Data Dictionary — Hidden &amp; Internal Data</w:t>
      </w:r>
    </w:p>
    <w:p>
      <w:pPr>
        <w:spacing w:after="180" w:line="300"/>
      </w:pPr>
      <w:r>
        <w:rPr>
          <w:sz w:val="22"/>
          <w:szCs w:val="22"/>
        </w:rPr>
        <w:t xml:space="preserve">Beyond the fields visibly displayed on the public board, the system maintains several categories of data that are private, computed, or otherwise not surfaced directly to the user.</w:t>
      </w:r>
    </w:p>
    <w:p>
      <w:pPr>
        <w:pStyle w:val="Heading2"/>
        <w:spacing w:after="120" w:before="240"/>
      </w:pPr>
      <w:r>
        <w:t xml:space="preserve">4.1 Private, Per-User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1F2A44" w:val="clear"/>
            <w:tcMar>
              <w:top w:type="dxa" w:w="100"/>
              <w:left w:type="dxa" w:w="120"/>
              <w:bottom w:type="dxa" w:w="100"/>
              <w:right w:type="dxa" w:w="120"/>
            </w:tcMar>
          </w:tcPr>
          <w:p>
            <w:r>
              <w:rPr>
                <w:b/>
                <w:bCs/>
                <w:color w:val="FFFFFF"/>
                <w:sz w:val="20"/>
                <w:szCs w:val="20"/>
              </w:rPr>
              <w:t xml:space="preserve">Field</w:t>
            </w:r>
          </w:p>
        </w:tc>
        <w:tc>
          <w:tcPr>
            <w:tcW w:type="dxa" w:w="3300"/>
            <w:shd w:fill="1F2A44" w:val="clear"/>
            <w:tcMar>
              <w:top w:type="dxa" w:w="100"/>
              <w:left w:type="dxa" w:w="120"/>
              <w:bottom w:type="dxa" w:w="100"/>
              <w:right w:type="dxa" w:w="120"/>
            </w:tcMar>
          </w:tcPr>
          <w:p>
            <w:r>
              <w:rPr>
                <w:b/>
                <w:bCs/>
                <w:color w:val="FFFFFF"/>
                <w:sz w:val="20"/>
                <w:szCs w:val="20"/>
              </w:rPr>
              <w:t xml:space="preserve">Where it lives</w:t>
            </w:r>
          </w:p>
        </w:tc>
        <w:tc>
          <w:tcPr>
            <w:tcW w:type="dxa" w:w="3326"/>
            <w:shd w:fill="1F2A44" w:val="clear"/>
            <w:tcMar>
              <w:top w:type="dxa" w:w="100"/>
              <w:left w:type="dxa" w:w="120"/>
              <w:bottom w:type="dxa" w:w="100"/>
              <w:right w:type="dxa" w:w="120"/>
            </w:tcMar>
          </w:tcPr>
          <w:p>
            <w:r>
              <w:rPr>
                <w:b/>
                <w:bCs/>
                <w:color w:val="FFFFFF"/>
                <w:sz w:val="20"/>
                <w:szCs w:val="20"/>
              </w:rPr>
              <w:t xml:space="preserve">Why it's hidden</w:t>
            </w:r>
          </w:p>
        </w:tc>
      </w:tr>
      <w:tr>
        <w:tc>
          <w:tcPr>
            <w:tcW w:type="dxa" w:w="2400"/>
            <w:tcMar>
              <w:top w:type="dxa" w:w="100"/>
              <w:left w:type="dxa" w:w="120"/>
              <w:bottom w:type="dxa" w:w="100"/>
              <w:right w:type="dxa" w:w="120"/>
            </w:tcMar>
          </w:tcPr>
          <w:p>
            <w:r>
              <w:rPr>
                <w:b w:val="false"/>
                <w:bCs w:val="false"/>
                <w:color w:val="000000"/>
                <w:sz w:val="20"/>
                <w:szCs w:val="20"/>
              </w:rPr>
              <w:t xml:space="preserve">myReportIds</w:t>
            </w:r>
          </w:p>
        </w:tc>
        <w:tc>
          <w:tcPr>
            <w:tcW w:type="dxa" w:w="3300"/>
            <w:tcMar>
              <w:top w:type="dxa" w:w="100"/>
              <w:left w:type="dxa" w:w="120"/>
              <w:bottom w:type="dxa" w:w="100"/>
              <w:right w:type="dxa" w:w="120"/>
            </w:tcMar>
          </w:tcPr>
          <w:p>
            <w:r>
              <w:rPr>
                <w:b w:val="false"/>
                <w:bCs w:val="false"/>
                <w:color w:val="000000"/>
                <w:sz w:val="20"/>
                <w:szCs w:val="20"/>
              </w:rPr>
              <w:t xml:space="preserve">Personal store (civic-ticket:my-reports)</w:t>
            </w:r>
          </w:p>
        </w:tc>
        <w:tc>
          <w:tcPr>
            <w:tcW w:type="dxa" w:w="3326"/>
            <w:tcMar>
              <w:top w:type="dxa" w:w="100"/>
              <w:left w:type="dxa" w:w="120"/>
              <w:bottom w:type="dxa" w:w="100"/>
              <w:right w:type="dxa" w:w="120"/>
            </w:tcMar>
          </w:tcPr>
          <w:p>
            <w:r>
              <w:rPr>
                <w:b w:val="false"/>
                <w:bCs w:val="false"/>
                <w:color w:val="000000"/>
                <w:sz w:val="20"/>
                <w:szCs w:val="20"/>
              </w:rPr>
              <w:t xml:space="preserve">Only the filer's browser session can see which ticket IDs they submitted — powers “Filed by you” tags and “Only mine” filtering without exposing filer identity to others</w:t>
            </w:r>
          </w:p>
        </w:tc>
      </w:tr>
    </w:tbl>
    <w:p>
      <w:pPr>
        <w:spacing w:after="200"/>
      </w:pPr>
    </w:p>
    <w:p>
      <w:pPr>
        <w:pStyle w:val="Heading2"/>
        <w:spacing w:after="120" w:before="240"/>
      </w:pPr>
      <w:r>
        <w:t xml:space="preserve">4.2 Computed / Internal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1F2A44" w:val="clear"/>
            <w:tcMar>
              <w:top w:type="dxa" w:w="100"/>
              <w:left w:type="dxa" w:w="120"/>
              <w:bottom w:type="dxa" w:w="100"/>
              <w:right w:type="dxa" w:w="120"/>
            </w:tcMar>
          </w:tcPr>
          <w:p>
            <w:r>
              <w:rPr>
                <w:b/>
                <w:bCs/>
                <w:color w:val="FFFFFF"/>
                <w:sz w:val="20"/>
                <w:szCs w:val="20"/>
              </w:rPr>
              <w:t xml:space="preserve">Field</w:t>
            </w:r>
          </w:p>
        </w:tc>
        <w:tc>
          <w:tcPr>
            <w:tcW w:type="dxa" w:w="3300"/>
            <w:shd w:fill="1F2A44" w:val="clear"/>
            <w:tcMar>
              <w:top w:type="dxa" w:w="100"/>
              <w:left w:type="dxa" w:w="120"/>
              <w:bottom w:type="dxa" w:w="100"/>
              <w:right w:type="dxa" w:w="120"/>
            </w:tcMar>
          </w:tcPr>
          <w:p>
            <w:r>
              <w:rPr>
                <w:b/>
                <w:bCs/>
                <w:color w:val="FFFFFF"/>
                <w:sz w:val="20"/>
                <w:szCs w:val="20"/>
              </w:rPr>
              <w:t xml:space="preserve">Computed from</w:t>
            </w:r>
          </w:p>
        </w:tc>
        <w:tc>
          <w:tcPr>
            <w:tcW w:type="dxa" w:w="3326"/>
            <w:shd w:fill="1F2A44" w:val="clear"/>
            <w:tcMar>
              <w:top w:type="dxa" w:w="100"/>
              <w:left w:type="dxa" w:w="120"/>
              <w:bottom w:type="dxa" w:w="100"/>
              <w:right w:type="dxa" w:w="120"/>
            </w:tcMar>
          </w:tcPr>
          <w:p>
            <w:r>
              <w:rPr>
                <w:b/>
                <w:bCs/>
                <w:color w:val="FFFFFF"/>
                <w:sz w:val="20"/>
                <w:szCs w:val="20"/>
              </w:rPr>
              <w:t xml:space="preserve">What's shown instead</w:t>
            </w:r>
          </w:p>
        </w:tc>
      </w:tr>
      <w:tr>
        <w:tc>
          <w:tcPr>
            <w:tcW w:type="dxa" w:w="2400"/>
            <w:tcMar>
              <w:top w:type="dxa" w:w="100"/>
              <w:left w:type="dxa" w:w="120"/>
              <w:bottom w:type="dxa" w:w="100"/>
              <w:right w:type="dxa" w:w="120"/>
            </w:tcMar>
          </w:tcPr>
          <w:p>
            <w:r>
              <w:rPr>
                <w:b w:val="false"/>
                <w:bCs w:val="false"/>
                <w:color w:val="000000"/>
                <w:sz w:val="20"/>
                <w:szCs w:val="20"/>
              </w:rPr>
              <w:t xml:space="preserve">priorityScore</w:t>
            </w:r>
          </w:p>
        </w:tc>
        <w:tc>
          <w:tcPr>
            <w:tcW w:type="dxa" w:w="3300"/>
            <w:tcMar>
              <w:top w:type="dxa" w:w="100"/>
              <w:left w:type="dxa" w:w="120"/>
              <w:bottom w:type="dxa" w:w="100"/>
              <w:right w:type="dxa" w:w="120"/>
            </w:tcMar>
          </w:tcPr>
          <w:p>
            <w:r>
              <w:rPr>
                <w:b w:val="false"/>
                <w:bCs w:val="false"/>
                <w:color w:val="000000"/>
                <w:sz w:val="20"/>
                <w:szCs w:val="20"/>
              </w:rPr>
              <w:t xml:space="preserve">Escalation tier × 25 + upvotes</w:t>
            </w:r>
          </w:p>
        </w:tc>
        <w:tc>
          <w:tcPr>
            <w:tcW w:type="dxa" w:w="3326"/>
            <w:tcMar>
              <w:top w:type="dxa" w:w="100"/>
              <w:left w:type="dxa" w:w="120"/>
              <w:bottom w:type="dxa" w:w="100"/>
              <w:right w:type="dxa" w:w="120"/>
            </w:tcMar>
          </w:tcPr>
          <w:p>
            <w:r>
              <w:rPr>
                <w:b w:val="false"/>
                <w:bCs w:val="false"/>
                <w:color w:val="000000"/>
                <w:sz w:val="20"/>
                <w:szCs w:val="20"/>
              </w:rPr>
              <w:t xml:space="preserve">Never a raw number — only reflected as row order in the admin priority queue</w:t>
            </w:r>
          </w:p>
        </w:tc>
      </w:tr>
      <w:tr>
        <w:tc>
          <w:tcPr>
            <w:tcW w:type="dxa" w:w="2400"/>
            <w:tcMar>
              <w:top w:type="dxa" w:w="100"/>
              <w:left w:type="dxa" w:w="120"/>
              <w:bottom w:type="dxa" w:w="100"/>
              <w:right w:type="dxa" w:w="120"/>
            </w:tcMar>
          </w:tcPr>
          <w:p>
            <w:r>
              <w:rPr>
                <w:b w:val="false"/>
                <w:bCs w:val="false"/>
                <w:color w:val="000000"/>
                <w:sz w:val="20"/>
                <w:szCs w:val="20"/>
              </w:rPr>
              <w:t xml:space="preserve">ts (timestamp)</w:t>
            </w:r>
          </w:p>
        </w:tc>
        <w:tc>
          <w:tcPr>
            <w:tcW w:type="dxa" w:w="3300"/>
            <w:tcMar>
              <w:top w:type="dxa" w:w="100"/>
              <w:left w:type="dxa" w:w="120"/>
              <w:bottom w:type="dxa" w:w="100"/>
              <w:right w:type="dxa" w:w="120"/>
            </w:tcMar>
          </w:tcPr>
          <w:p>
            <w:r>
              <w:rPr>
                <w:b w:val="false"/>
                <w:bCs w:val="false"/>
                <w:color w:val="000000"/>
                <w:sz w:val="20"/>
                <w:szCs w:val="20"/>
              </w:rPr>
              <w:t xml:space="preserve">Date.now() at filing</w:t>
            </w:r>
          </w:p>
        </w:tc>
        <w:tc>
          <w:tcPr>
            <w:tcW w:type="dxa" w:w="3326"/>
            <w:tcMar>
              <w:top w:type="dxa" w:w="100"/>
              <w:left w:type="dxa" w:w="120"/>
              <w:bottom w:type="dxa" w:w="100"/>
              <w:right w:type="dxa" w:w="120"/>
            </w:tcMar>
          </w:tcPr>
          <w:p>
            <w:r>
              <w:rPr>
                <w:b w:val="false"/>
                <w:bCs w:val="false"/>
                <w:color w:val="000000"/>
                <w:sz w:val="20"/>
                <w:szCs w:val="20"/>
              </w:rPr>
              <w:t xml:space="preserve">Rendered only as relative text (“2 days ago”), never the epoch value</w:t>
            </w:r>
          </w:p>
        </w:tc>
      </w:tr>
      <w:tr>
        <w:tc>
          <w:tcPr>
            <w:tcW w:type="dxa" w:w="2400"/>
            <w:tcMar>
              <w:top w:type="dxa" w:w="100"/>
              <w:left w:type="dxa" w:w="120"/>
              <w:bottom w:type="dxa" w:w="100"/>
              <w:right w:type="dxa" w:w="120"/>
            </w:tcMar>
          </w:tcPr>
          <w:p>
            <w:r>
              <w:rPr>
                <w:b w:val="false"/>
                <w:bCs w:val="false"/>
                <w:color w:val="000000"/>
                <w:sz w:val="20"/>
                <w:szCs w:val="20"/>
              </w:rPr>
              <w:t xml:space="preserve">x, y (map coords)</w:t>
            </w:r>
          </w:p>
        </w:tc>
        <w:tc>
          <w:tcPr>
            <w:tcW w:type="dxa" w:w="3300"/>
            <w:tcMar>
              <w:top w:type="dxa" w:w="100"/>
              <w:left w:type="dxa" w:w="120"/>
              <w:bottom w:type="dxa" w:w="100"/>
              <w:right w:type="dxa" w:w="120"/>
            </w:tcMar>
          </w:tcPr>
          <w:p>
            <w:r>
              <w:rPr>
                <w:b w:val="false"/>
                <w:bCs w:val="false"/>
                <w:color w:val="000000"/>
                <w:sz w:val="20"/>
                <w:szCs w:val="20"/>
              </w:rPr>
              <w:t xml:space="preserve">Click position on the SVG map</w:t>
            </w:r>
          </w:p>
        </w:tc>
        <w:tc>
          <w:tcPr>
            <w:tcW w:type="dxa" w:w="3326"/>
            <w:tcMar>
              <w:top w:type="dxa" w:w="100"/>
              <w:left w:type="dxa" w:w="120"/>
              <w:bottom w:type="dxa" w:w="100"/>
              <w:right w:type="dxa" w:w="120"/>
            </w:tcMar>
          </w:tcPr>
          <w:p>
            <w:r>
              <w:rPr>
                <w:b w:val="false"/>
                <w:bCs w:val="false"/>
                <w:color w:val="000000"/>
                <w:sz w:val="20"/>
                <w:szCs w:val="20"/>
              </w:rPr>
              <w:t xml:space="preserve">Used to place the pin and calculate duplicate-report distance — never shown as numbers</w:t>
            </w:r>
          </w:p>
        </w:tc>
      </w:tr>
      <w:tr>
        <w:tc>
          <w:tcPr>
            <w:tcW w:type="dxa" w:w="2400"/>
            <w:tcMar>
              <w:top w:type="dxa" w:w="100"/>
              <w:left w:type="dxa" w:w="120"/>
              <w:bottom w:type="dxa" w:w="100"/>
              <w:right w:type="dxa" w:w="120"/>
            </w:tcMar>
          </w:tcPr>
          <w:p>
            <w:r>
              <w:rPr>
                <w:b w:val="false"/>
                <w:bCs w:val="false"/>
                <w:color w:val="000000"/>
                <w:sz w:val="20"/>
                <w:szCs w:val="20"/>
              </w:rPr>
              <w:t xml:space="preserve">Escalation tier</w:t>
            </w:r>
          </w:p>
        </w:tc>
        <w:tc>
          <w:tcPr>
            <w:tcW w:type="dxa" w:w="3300"/>
            <w:tcMar>
              <w:top w:type="dxa" w:w="100"/>
              <w:left w:type="dxa" w:w="120"/>
              <w:bottom w:type="dxa" w:w="100"/>
              <w:right w:type="dxa" w:w="120"/>
            </w:tcMar>
          </w:tcPr>
          <w:p>
            <w:r>
              <w:rPr>
                <w:b w:val="false"/>
                <w:bCs w:val="false"/>
                <w:color w:val="000000"/>
                <w:sz w:val="20"/>
                <w:szCs w:val="20"/>
              </w:rPr>
              <w:t xml:space="preserve">Age vs. CATEGORY_SLA thresholds</w:t>
            </w:r>
          </w:p>
        </w:tc>
        <w:tc>
          <w:tcPr>
            <w:tcW w:type="dxa" w:w="3326"/>
            <w:tcMar>
              <w:top w:type="dxa" w:w="100"/>
              <w:left w:type="dxa" w:w="120"/>
              <w:bottom w:type="dxa" w:w="100"/>
              <w:right w:type="dxa" w:w="120"/>
            </w:tcMar>
          </w:tcPr>
          <w:p>
            <w:r>
              <w:rPr>
                <w:b w:val="false"/>
                <w:bCs w:val="false"/>
                <w:color w:val="000000"/>
                <w:sz w:val="20"/>
                <w:szCs w:val="20"/>
              </w:rPr>
              <w:t xml:space="preserve">Shown only once a threshold is crossed — the underlying day-count math isn't exposed</w:t>
            </w:r>
          </w:p>
        </w:tc>
      </w:tr>
    </w:tbl>
    <w:p>
      <w:pPr>
        <w:spacing w:after="200"/>
      </w:pPr>
    </w:p>
    <w:p>
      <w:pPr>
        <w:pStyle w:val="Heading2"/>
        <w:spacing w:after="120" w:before="240"/>
      </w:pPr>
      <w:r>
        <w:t xml:space="preserve">4.3 Present but Not Directly Surfaced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1F2A44" w:val="clear"/>
            <w:tcMar>
              <w:top w:type="dxa" w:w="100"/>
              <w:left w:type="dxa" w:w="120"/>
              <w:bottom w:type="dxa" w:w="100"/>
              <w:right w:type="dxa" w:w="120"/>
            </w:tcMar>
          </w:tcPr>
          <w:p>
            <w:r>
              <w:rPr>
                <w:b/>
                <w:bCs/>
                <w:color w:val="FFFFFF"/>
                <w:sz w:val="20"/>
                <w:szCs w:val="20"/>
              </w:rPr>
              <w:t xml:space="preserve">Field</w:t>
            </w:r>
          </w:p>
        </w:tc>
        <w:tc>
          <w:tcPr>
            <w:tcW w:type="dxa" w:w="3300"/>
            <w:shd w:fill="1F2A44" w:val="clear"/>
            <w:tcMar>
              <w:top w:type="dxa" w:w="100"/>
              <w:left w:type="dxa" w:w="120"/>
              <w:bottom w:type="dxa" w:w="100"/>
              <w:right w:type="dxa" w:w="120"/>
            </w:tcMar>
          </w:tcPr>
          <w:p>
            <w:r>
              <w:rPr>
                <w:b/>
                <w:bCs/>
                <w:color w:val="FFFFFF"/>
                <w:sz w:val="20"/>
                <w:szCs w:val="20"/>
              </w:rPr>
              <w:t xml:space="preserve">Status</w:t>
            </w:r>
          </w:p>
        </w:tc>
        <w:tc>
          <w:tcPr>
            <w:tcW w:type="dxa" w:w="3326"/>
            <w:shd w:fill="1F2A44" w:val="clear"/>
            <w:tcMar>
              <w:top w:type="dxa" w:w="100"/>
              <w:left w:type="dxa" w:w="120"/>
              <w:bottom w:type="dxa" w:w="100"/>
              <w:right w:type="dxa" w:w="120"/>
            </w:tcMar>
          </w:tcPr>
          <w:p>
            <w:r>
              <w:rPr>
                <w:b/>
                <w:bCs/>
                <w:color w:val="FFFFFF"/>
                <w:sz w:val="20"/>
                <w:szCs w:val="20"/>
              </w:rPr>
              <w:t xml:space="preserve">Note</w:t>
            </w:r>
          </w:p>
        </w:tc>
      </w:tr>
      <w:tr>
        <w:tc>
          <w:tcPr>
            <w:tcW w:type="dxa" w:w="2400"/>
            <w:tcMar>
              <w:top w:type="dxa" w:w="100"/>
              <w:left w:type="dxa" w:w="120"/>
              <w:bottom w:type="dxa" w:w="100"/>
              <w:right w:type="dxa" w:w="120"/>
            </w:tcMar>
          </w:tcPr>
          <w:p>
            <w:r>
              <w:rPr>
                <w:b w:val="false"/>
                <w:bCs w:val="false"/>
                <w:color w:val="000000"/>
                <w:sz w:val="20"/>
                <w:szCs w:val="20"/>
              </w:rPr>
              <w:t xml:space="preserve">resolvedAt</w:t>
            </w:r>
          </w:p>
        </w:tc>
        <w:tc>
          <w:tcPr>
            <w:tcW w:type="dxa" w:w="3300"/>
            <w:tcMar>
              <w:top w:type="dxa" w:w="100"/>
              <w:left w:type="dxa" w:w="120"/>
              <w:bottom w:type="dxa" w:w="100"/>
              <w:right w:type="dxa" w:w="120"/>
            </w:tcMar>
          </w:tcPr>
          <w:p>
            <w:r>
              <w:rPr>
                <w:b w:val="false"/>
                <w:bCs w:val="false"/>
                <w:color w:val="000000"/>
                <w:sz w:val="20"/>
                <w:szCs w:val="20"/>
              </w:rPr>
              <w:t xml:space="preserve">Stored on the complaint</w:t>
            </w:r>
          </w:p>
        </w:tc>
        <w:tc>
          <w:tcPr>
            <w:tcW w:type="dxa" w:w="3326"/>
            <w:tcMar>
              <w:top w:type="dxa" w:w="100"/>
              <w:left w:type="dxa" w:w="120"/>
              <w:bottom w:type="dxa" w:w="100"/>
              <w:right w:type="dxa" w:w="120"/>
            </w:tcMar>
          </w:tcPr>
          <w:p>
            <w:r>
              <w:rPr>
                <w:b w:val="false"/>
                <w:bCs w:val="false"/>
                <w:color w:val="000000"/>
                <w:sz w:val="20"/>
                <w:szCs w:val="20"/>
              </w:rPr>
              <w:t xml:space="preserve">Used only to compute “resolved in N days” — not shown as a raw date</w:t>
            </w:r>
          </w:p>
        </w:tc>
      </w:tr>
      <w:tr>
        <w:tc>
          <w:tcPr>
            <w:tcW w:type="dxa" w:w="2400"/>
            <w:tcMar>
              <w:top w:type="dxa" w:w="100"/>
              <w:left w:type="dxa" w:w="120"/>
              <w:bottom w:type="dxa" w:w="100"/>
              <w:right w:type="dxa" w:w="120"/>
            </w:tcMar>
          </w:tcPr>
          <w:p>
            <w:r>
              <w:rPr>
                <w:b w:val="false"/>
                <w:bCs w:val="false"/>
                <w:color w:val="000000"/>
                <w:sz w:val="20"/>
                <w:szCs w:val="20"/>
              </w:rPr>
              <w:t xml:space="preserve">rating</w:t>
            </w:r>
          </w:p>
        </w:tc>
        <w:tc>
          <w:tcPr>
            <w:tcW w:type="dxa" w:w="3300"/>
            <w:tcMar>
              <w:top w:type="dxa" w:w="100"/>
              <w:left w:type="dxa" w:w="120"/>
              <w:bottom w:type="dxa" w:w="100"/>
              <w:right w:type="dxa" w:w="120"/>
            </w:tcMar>
          </w:tcPr>
          <w:p>
            <w:r>
              <w:rPr>
                <w:b w:val="false"/>
                <w:bCs w:val="false"/>
                <w:color w:val="000000"/>
                <w:sz w:val="20"/>
                <w:szCs w:val="20"/>
              </w:rPr>
              <w:t xml:space="preserve">Present in the data model</w:t>
            </w:r>
          </w:p>
        </w:tc>
        <w:tc>
          <w:tcPr>
            <w:tcW w:type="dxa" w:w="3326"/>
            <w:tcMar>
              <w:top w:type="dxa" w:w="100"/>
              <w:left w:type="dxa" w:w="120"/>
              <w:bottom w:type="dxa" w:w="100"/>
              <w:right w:type="dxa" w:w="120"/>
            </w:tcMar>
          </w:tcPr>
          <w:p>
            <w:r>
              <w:rPr>
                <w:b w:val="false"/>
                <w:bCs w:val="false"/>
                <w:color w:val="000000"/>
                <w:sz w:val="20"/>
                <w:szCs w:val="20"/>
              </w:rPr>
              <w:t xml:space="preserve">Only surfaced in aggregate (average citizen satisfaction)</w:t>
            </w:r>
          </w:p>
        </w:tc>
      </w:tr>
    </w:tbl>
    <w:p>
      <w:pPr>
        <w:spacing w:after="240"/>
      </w:pPr>
    </w:p>
    <w:p>
      <w:pPr>
        <w:pStyle w:val="Heading2"/>
        <w:spacing w:after="120" w:before="240"/>
      </w:pPr>
      <w:r>
        <w:t xml:space="preserve">4.4 Known Limitation</w:t>
      </w:r>
    </w:p>
    <w:p>
      <w:pPr>
        <w:pBdr>
          <w:left w:val="single" w:color="C1501F" w:sz="24" w:space="8"/>
        </w:pBdr>
        <w:shd w:fill="FBF3E4" w:val="clear"/>
        <w:spacing w:after="120" w:before="120" w:line="300"/>
      </w:pPr>
      <w:r>
        <w:rPr>
          <w:i/>
          <w:iCs/>
          <w:sz w:val="21"/>
          <w:szCs w:val="21"/>
        </w:rPr>
        <w:t xml:space="preserve">The admin passcode (WARD14) is a plain string inside the client-side JavaScript bundle. Because this is a client-only architecture with no backend, the passcode is visible to anyone who inspects the browser's source — it functions as a UX gate, not real access control. Any report or presentation on this project should state this explicitly as a known limitation rather than implying server-enforced authentication.</w:t>
      </w:r>
    </w:p>
    <w:p>
      <w:r>
        <w:br w:type="page"/>
      </w:r>
    </w:p>
    <w:p>
      <w:pPr>
        <w:pStyle w:val="Heading1"/>
        <w:spacing w:after="160" w:before="360"/>
      </w:pPr>
      <w:r>
        <w:t xml:space="preserve">5. Design Patterns Used</w:t>
      </w:r>
    </w:p>
    <w:p>
      <w:pPr>
        <w:spacing w:after="180" w:line="300"/>
      </w:pPr>
      <w:r>
        <w:rPr>
          <w:sz w:val="22"/>
          <w:szCs w:val="22"/>
        </w:rPr>
        <w:t xml:space="preserve">The codebase follows several recognizable software design patterns — both classic Gang-of-Four patterns and common frontend architectural patterns — summarized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shd w:fill="1F2A44" w:val="clear"/>
            <w:tcMar>
              <w:top w:type="dxa" w:w="100"/>
              <w:left w:type="dxa" w:w="120"/>
              <w:bottom w:type="dxa" w:w="100"/>
              <w:right w:type="dxa" w:w="120"/>
            </w:tcMar>
          </w:tcPr>
          <w:p>
            <w:r>
              <w:rPr>
                <w:b/>
                <w:bCs/>
                <w:color w:val="FFFFFF"/>
                <w:sz w:val="20"/>
                <w:szCs w:val="20"/>
              </w:rPr>
              <w:t xml:space="preserve">Pattern</w:t>
            </w:r>
          </w:p>
        </w:tc>
        <w:tc>
          <w:tcPr>
            <w:tcW w:type="dxa" w:w="2400"/>
            <w:shd w:fill="1F2A44" w:val="clear"/>
            <w:tcMar>
              <w:top w:type="dxa" w:w="100"/>
              <w:left w:type="dxa" w:w="120"/>
              <w:bottom w:type="dxa" w:w="100"/>
              <w:right w:type="dxa" w:w="120"/>
            </w:tcMar>
          </w:tcPr>
          <w:p>
            <w:r>
              <w:rPr>
                <w:b/>
                <w:bCs/>
                <w:color w:val="FFFFFF"/>
                <w:sz w:val="20"/>
                <w:szCs w:val="20"/>
              </w:rPr>
              <w:t xml:space="preserve">Category</w:t>
            </w:r>
          </w:p>
        </w:tc>
        <w:tc>
          <w:tcPr>
            <w:tcW w:type="dxa" w:w="4626"/>
            <w:shd w:fill="1F2A44" w:val="clear"/>
            <w:tcMar>
              <w:top w:type="dxa" w:w="100"/>
              <w:left w:type="dxa" w:w="120"/>
              <w:bottom w:type="dxa" w:w="100"/>
              <w:right w:type="dxa" w:w="120"/>
            </w:tcMar>
          </w:tcPr>
          <w:p>
            <w:r>
              <w:rPr>
                <w:b/>
                <w:bCs/>
                <w:color w:val="FFFFFF"/>
                <w:sz w:val="20"/>
                <w:szCs w:val="20"/>
              </w:rPr>
              <w:t xml:space="preserve">Where applied</w:t>
            </w:r>
          </w:p>
        </w:tc>
      </w:tr>
      <w:tr>
        <w:tc>
          <w:tcPr>
            <w:tcW w:type="dxa" w:w="2000"/>
            <w:tcMar>
              <w:top w:type="dxa" w:w="100"/>
              <w:left w:type="dxa" w:w="120"/>
              <w:bottom w:type="dxa" w:w="100"/>
              <w:right w:type="dxa" w:w="120"/>
            </w:tcMar>
          </w:tcPr>
          <w:p>
            <w:r>
              <w:rPr>
                <w:b w:val="false"/>
                <w:bCs w:val="false"/>
                <w:color w:val="000000"/>
                <w:sz w:val="20"/>
                <w:szCs w:val="20"/>
              </w:rPr>
              <w:t xml:space="preserve">MVVM</w:t>
            </w:r>
          </w:p>
        </w:tc>
        <w:tc>
          <w:tcPr>
            <w:tcW w:type="dxa" w:w="2400"/>
            <w:tcMar>
              <w:top w:type="dxa" w:w="100"/>
              <w:left w:type="dxa" w:w="120"/>
              <w:bottom w:type="dxa" w:w="100"/>
              <w:right w:type="dxa" w:w="120"/>
            </w:tcMar>
          </w:tcPr>
          <w:p>
            <w:r>
              <w:rPr>
                <w:b w:val="false"/>
                <w:bCs w:val="false"/>
                <w:color w:val="000000"/>
                <w:sz w:val="20"/>
                <w:szCs w:val="20"/>
              </w:rPr>
              <w:t xml:space="preserve">Architectural</w:t>
            </w:r>
          </w:p>
        </w:tc>
        <w:tc>
          <w:tcPr>
            <w:tcW w:type="dxa" w:w="4626"/>
            <w:tcMar>
              <w:top w:type="dxa" w:w="100"/>
              <w:left w:type="dxa" w:w="120"/>
              <w:bottom w:type="dxa" w:w="100"/>
              <w:right w:type="dxa" w:w="120"/>
            </w:tcMar>
          </w:tcPr>
          <w:p>
            <w:r>
              <w:rPr>
                <w:b w:val="false"/>
                <w:bCs w:val="false"/>
                <w:color w:val="000000"/>
                <w:sz w:val="20"/>
                <w:szCs w:val="20"/>
              </w:rPr>
              <w:t xml:space="preserve">complaints state = Model; JSX components = View; hooks/handlers = ViewModel</w:t>
            </w:r>
          </w:p>
        </w:tc>
      </w:tr>
      <w:tr>
        <w:tc>
          <w:tcPr>
            <w:tcW w:type="dxa" w:w="2000"/>
            <w:tcMar>
              <w:top w:type="dxa" w:w="100"/>
              <w:left w:type="dxa" w:w="120"/>
              <w:bottom w:type="dxa" w:w="100"/>
              <w:right w:type="dxa" w:w="120"/>
            </w:tcMar>
          </w:tcPr>
          <w:p>
            <w:r>
              <w:rPr>
                <w:b w:val="false"/>
                <w:bCs w:val="false"/>
                <w:color w:val="000000"/>
                <w:sz w:val="20"/>
                <w:szCs w:val="20"/>
              </w:rPr>
              <w:t xml:space="preserve">Container / Presentational</w:t>
            </w:r>
          </w:p>
        </w:tc>
        <w:tc>
          <w:tcPr>
            <w:tcW w:type="dxa" w:w="2400"/>
            <w:tcMar>
              <w:top w:type="dxa" w:w="100"/>
              <w:left w:type="dxa" w:w="120"/>
              <w:bottom w:type="dxa" w:w="100"/>
              <w:right w:type="dxa" w:w="120"/>
            </w:tcMar>
          </w:tcPr>
          <w:p>
            <w:r>
              <w:rPr>
                <w:b w:val="false"/>
                <w:bCs w:val="false"/>
                <w:color w:val="000000"/>
                <w:sz w:val="20"/>
                <w:szCs w:val="20"/>
              </w:rPr>
              <w:t xml:space="preserve">Structural</w:t>
            </w:r>
          </w:p>
        </w:tc>
        <w:tc>
          <w:tcPr>
            <w:tcW w:type="dxa" w:w="4626"/>
            <w:tcMar>
              <w:top w:type="dxa" w:w="100"/>
              <w:left w:type="dxa" w:w="120"/>
              <w:bottom w:type="dxa" w:w="100"/>
              <w:right w:type="dxa" w:w="120"/>
            </w:tcMar>
          </w:tcPr>
          <w:p>
            <w:r>
              <w:rPr>
                <w:b w:val="false"/>
                <w:bCs w:val="false"/>
                <w:color w:val="000000"/>
                <w:sz w:val="20"/>
                <w:szCs w:val="20"/>
              </w:rPr>
              <w:t xml:space="preserve">CivicComplaintPortal owns state and logic; TicketStub, TownMap, Ledger, StampBadge, StarRating are pure presentational components</w:t>
            </w:r>
          </w:p>
        </w:tc>
      </w:tr>
      <w:tr>
        <w:tc>
          <w:tcPr>
            <w:tcW w:type="dxa" w:w="2000"/>
            <w:tcMar>
              <w:top w:type="dxa" w:w="100"/>
              <w:left w:type="dxa" w:w="120"/>
              <w:bottom w:type="dxa" w:w="100"/>
              <w:right w:type="dxa" w:w="120"/>
            </w:tcMar>
          </w:tcPr>
          <w:p>
            <w:r>
              <w:rPr>
                <w:b w:val="false"/>
                <w:bCs w:val="false"/>
                <w:color w:val="000000"/>
                <w:sz w:val="20"/>
                <w:szCs w:val="20"/>
              </w:rPr>
              <w:t xml:space="preserve">Facade</w:t>
            </w:r>
          </w:p>
        </w:tc>
        <w:tc>
          <w:tcPr>
            <w:tcW w:type="dxa" w:w="2400"/>
            <w:tcMar>
              <w:top w:type="dxa" w:w="100"/>
              <w:left w:type="dxa" w:w="120"/>
              <w:bottom w:type="dxa" w:w="100"/>
              <w:right w:type="dxa" w:w="120"/>
            </w:tcMar>
          </w:tcPr>
          <w:p>
            <w:r>
              <w:rPr>
                <w:b w:val="false"/>
                <w:bCs w:val="false"/>
                <w:color w:val="000000"/>
                <w:sz w:val="20"/>
                <w:szCs w:val="20"/>
              </w:rPr>
              <w:t xml:space="preserve">Structural (GoF)</w:t>
            </w:r>
          </w:p>
        </w:tc>
        <w:tc>
          <w:tcPr>
            <w:tcW w:type="dxa" w:w="4626"/>
            <w:tcMar>
              <w:top w:type="dxa" w:w="100"/>
              <w:left w:type="dxa" w:w="120"/>
              <w:bottom w:type="dxa" w:w="100"/>
              <w:right w:type="dxa" w:w="120"/>
            </w:tcMar>
          </w:tcPr>
          <w:p>
            <w:r>
              <w:rPr>
                <w:b w:val="false"/>
                <w:bCs w:val="false"/>
                <w:color w:val="000000"/>
                <w:sz w:val="20"/>
                <w:szCs w:val="20"/>
              </w:rPr>
              <w:t xml:space="preserve">persistComplaints() hides the two-step complexity of updating UI state and writing to storage behind one call</w:t>
            </w:r>
          </w:p>
        </w:tc>
      </w:tr>
      <w:tr>
        <w:tc>
          <w:tcPr>
            <w:tcW w:type="dxa" w:w="2000"/>
            <w:tcMar>
              <w:top w:type="dxa" w:w="100"/>
              <w:left w:type="dxa" w:w="120"/>
              <w:bottom w:type="dxa" w:w="100"/>
              <w:right w:type="dxa" w:w="120"/>
            </w:tcMar>
          </w:tcPr>
          <w:p>
            <w:r>
              <w:rPr>
                <w:b w:val="false"/>
                <w:bCs w:val="false"/>
                <w:color w:val="000000"/>
                <w:sz w:val="20"/>
                <w:szCs w:val="20"/>
              </w:rPr>
              <w:t xml:space="preserve">State</w:t>
            </w:r>
          </w:p>
        </w:tc>
        <w:tc>
          <w:tcPr>
            <w:tcW w:type="dxa" w:w="2400"/>
            <w:tcMar>
              <w:top w:type="dxa" w:w="100"/>
              <w:left w:type="dxa" w:w="120"/>
              <w:bottom w:type="dxa" w:w="100"/>
              <w:right w:type="dxa" w:w="120"/>
            </w:tcMar>
          </w:tcPr>
          <w:p>
            <w:r>
              <w:rPr>
                <w:b w:val="false"/>
                <w:bCs w:val="false"/>
                <w:color w:val="000000"/>
                <w:sz w:val="20"/>
                <w:szCs w:val="20"/>
              </w:rPr>
              <w:t xml:space="preserve">Behavioral (GoF)</w:t>
            </w:r>
          </w:p>
        </w:tc>
        <w:tc>
          <w:tcPr>
            <w:tcW w:type="dxa" w:w="4626"/>
            <w:tcMar>
              <w:top w:type="dxa" w:w="100"/>
              <w:left w:type="dxa" w:w="120"/>
              <w:bottom w:type="dxa" w:w="100"/>
              <w:right w:type="dxa" w:w="120"/>
            </w:tcMar>
          </w:tcPr>
          <w:p>
            <w:r>
              <w:rPr>
                <w:b w:val="false"/>
                <w:bCs w:val="false"/>
                <w:color w:val="000000"/>
                <w:sz w:val="20"/>
                <w:szCs w:val="20"/>
              </w:rPr>
              <w:t xml:space="preserve">STATUS finite state machine (open → progress → resolved); a second, time-driven state machine layers escalation tiers on top</w:t>
            </w:r>
          </w:p>
        </w:tc>
      </w:tr>
      <w:tr>
        <w:tc>
          <w:tcPr>
            <w:tcW w:type="dxa" w:w="2000"/>
            <w:tcMar>
              <w:top w:type="dxa" w:w="100"/>
              <w:left w:type="dxa" w:w="120"/>
              <w:bottom w:type="dxa" w:w="100"/>
              <w:right w:type="dxa" w:w="120"/>
            </w:tcMar>
          </w:tcPr>
          <w:p>
            <w:r>
              <w:rPr>
                <w:b w:val="false"/>
                <w:bCs w:val="false"/>
                <w:color w:val="000000"/>
                <w:sz w:val="20"/>
                <w:szCs w:val="20"/>
              </w:rPr>
              <w:t xml:space="preserve">Strategy</w:t>
            </w:r>
          </w:p>
        </w:tc>
        <w:tc>
          <w:tcPr>
            <w:tcW w:type="dxa" w:w="2400"/>
            <w:tcMar>
              <w:top w:type="dxa" w:w="100"/>
              <w:left w:type="dxa" w:w="120"/>
              <w:bottom w:type="dxa" w:w="100"/>
              <w:right w:type="dxa" w:w="120"/>
            </w:tcMar>
          </w:tcPr>
          <w:p>
            <w:r>
              <w:rPr>
                <w:b w:val="false"/>
                <w:bCs w:val="false"/>
                <w:color w:val="000000"/>
                <w:sz w:val="20"/>
                <w:szCs w:val="20"/>
              </w:rPr>
              <w:t xml:space="preserve">Behavioral (GoF)</w:t>
            </w:r>
          </w:p>
        </w:tc>
        <w:tc>
          <w:tcPr>
            <w:tcW w:type="dxa" w:w="4626"/>
            <w:tcMar>
              <w:top w:type="dxa" w:w="100"/>
              <w:left w:type="dxa" w:w="120"/>
              <w:bottom w:type="dxa" w:w="100"/>
              <w:right w:type="dxa" w:w="120"/>
            </w:tcMar>
          </w:tcPr>
          <w:p>
            <w:r>
              <w:rPr>
                <w:b w:val="false"/>
                <w:bCs w:val="false"/>
                <w:color w:val="000000"/>
                <w:sz w:val="20"/>
                <w:szCs w:val="20"/>
              </w:rPr>
              <w:t xml:space="preserve">sortBy and adminSort swap comparator logic at runtime without the rendering code knowing which is active</w:t>
            </w:r>
          </w:p>
        </w:tc>
      </w:tr>
      <w:tr>
        <w:tc>
          <w:tcPr>
            <w:tcW w:type="dxa" w:w="2000"/>
            <w:tcMar>
              <w:top w:type="dxa" w:w="100"/>
              <w:left w:type="dxa" w:w="120"/>
              <w:bottom w:type="dxa" w:w="100"/>
              <w:right w:type="dxa" w:w="120"/>
            </w:tcMar>
          </w:tcPr>
          <w:p>
            <w:r>
              <w:rPr>
                <w:b w:val="false"/>
                <w:bCs w:val="false"/>
                <w:color w:val="000000"/>
                <w:sz w:val="20"/>
                <w:szCs w:val="20"/>
              </w:rPr>
              <w:t xml:space="preserve">Observer (approximated)</w:t>
            </w:r>
          </w:p>
        </w:tc>
        <w:tc>
          <w:tcPr>
            <w:tcW w:type="dxa" w:w="2400"/>
            <w:tcMar>
              <w:top w:type="dxa" w:w="100"/>
              <w:left w:type="dxa" w:w="120"/>
              <w:bottom w:type="dxa" w:w="100"/>
              <w:right w:type="dxa" w:w="120"/>
            </w:tcMar>
          </w:tcPr>
          <w:p>
            <w:r>
              <w:rPr>
                <w:b w:val="false"/>
                <w:bCs w:val="false"/>
                <w:color w:val="000000"/>
                <w:sz w:val="20"/>
                <w:szCs w:val="20"/>
              </w:rPr>
              <w:t xml:space="preserve">Behavioral (GoF)</w:t>
            </w:r>
          </w:p>
        </w:tc>
        <w:tc>
          <w:tcPr>
            <w:tcW w:type="dxa" w:w="4626"/>
            <w:tcMar>
              <w:top w:type="dxa" w:w="100"/>
              <w:left w:type="dxa" w:w="120"/>
              <w:bottom w:type="dxa" w:w="100"/>
              <w:right w:type="dxa" w:w="120"/>
            </w:tcMar>
          </w:tcPr>
          <w:p>
            <w:r>
              <w:rPr>
                <w:b w:val="false"/>
                <w:bCs w:val="false"/>
                <w:color w:val="000000"/>
                <w:sz w:val="20"/>
                <w:szCs w:val="20"/>
              </w:rPr>
              <w:t xml:space="preserve">Polling diffs shared storage against local state and flips hasRemoteUpdate, which the UI “subscribes” to via the refresh banner</w:t>
            </w:r>
          </w:p>
        </w:tc>
      </w:tr>
      <w:tr>
        <w:tc>
          <w:tcPr>
            <w:tcW w:type="dxa" w:w="2000"/>
            <w:tcMar>
              <w:top w:type="dxa" w:w="100"/>
              <w:left w:type="dxa" w:w="120"/>
              <w:bottom w:type="dxa" w:w="100"/>
              <w:right w:type="dxa" w:w="120"/>
            </w:tcMar>
          </w:tcPr>
          <w:p>
            <w:r>
              <w:rPr>
                <w:b w:val="false"/>
                <w:bCs w:val="false"/>
                <w:color w:val="000000"/>
                <w:sz w:val="20"/>
                <w:szCs w:val="20"/>
              </w:rPr>
              <w:t xml:space="preserve">Memoization</w:t>
            </w:r>
          </w:p>
        </w:tc>
        <w:tc>
          <w:tcPr>
            <w:tcW w:type="dxa" w:w="2400"/>
            <w:tcMar>
              <w:top w:type="dxa" w:w="100"/>
              <w:left w:type="dxa" w:w="120"/>
              <w:bottom w:type="dxa" w:w="100"/>
              <w:right w:type="dxa" w:w="120"/>
            </w:tcMar>
          </w:tcPr>
          <w:p>
            <w:r>
              <w:rPr>
                <w:b w:val="false"/>
                <w:bCs w:val="false"/>
                <w:color w:val="000000"/>
                <w:sz w:val="20"/>
                <w:szCs w:val="20"/>
              </w:rPr>
              <w:t xml:space="preserve">Optimization</w:t>
            </w:r>
          </w:p>
        </w:tc>
        <w:tc>
          <w:tcPr>
            <w:tcW w:type="dxa" w:w="4626"/>
            <w:tcMar>
              <w:top w:type="dxa" w:w="100"/>
              <w:left w:type="dxa" w:w="120"/>
              <w:bottom w:type="dxa" w:w="100"/>
              <w:right w:type="dxa" w:w="120"/>
            </w:tcMar>
          </w:tcPr>
          <w:p>
            <w:r>
              <w:rPr>
                <w:b w:val="false"/>
                <w:bCs w:val="false"/>
                <w:color w:val="000000"/>
                <w:sz w:val="20"/>
                <w:szCs w:val="20"/>
              </w:rPr>
              <w:t xml:space="preserve">useMemo caches filtered and nearbyDuplicate so expensive recomputation only reruns when dependencies change</w:t>
            </w:r>
          </w:p>
        </w:tc>
      </w:tr>
      <w:tr>
        <w:tc>
          <w:tcPr>
            <w:tcW w:type="dxa" w:w="2000"/>
            <w:tcMar>
              <w:top w:type="dxa" w:w="100"/>
              <w:left w:type="dxa" w:w="120"/>
              <w:bottom w:type="dxa" w:w="100"/>
              <w:right w:type="dxa" w:w="120"/>
            </w:tcMar>
          </w:tcPr>
          <w:p>
            <w:r>
              <w:rPr>
                <w:b w:val="false"/>
                <w:bCs w:val="false"/>
                <w:color w:val="000000"/>
                <w:sz w:val="20"/>
                <w:szCs w:val="20"/>
              </w:rPr>
              <w:t xml:space="preserve">Configuration-over-code</w:t>
            </w:r>
          </w:p>
        </w:tc>
        <w:tc>
          <w:tcPr>
            <w:tcW w:type="dxa" w:w="2400"/>
            <w:tcMar>
              <w:top w:type="dxa" w:w="100"/>
              <w:left w:type="dxa" w:w="120"/>
              <w:bottom w:type="dxa" w:w="100"/>
              <w:right w:type="dxa" w:w="120"/>
            </w:tcMar>
          </w:tcPr>
          <w:p>
            <w:r>
              <w:rPr>
                <w:b w:val="false"/>
                <w:bCs w:val="false"/>
                <w:color w:val="000000"/>
                <w:sz w:val="20"/>
                <w:szCs w:val="20"/>
              </w:rPr>
              <w:t xml:space="preserve">Data-driven design</w:t>
            </w:r>
          </w:p>
        </w:tc>
        <w:tc>
          <w:tcPr>
            <w:tcW w:type="dxa" w:w="4626"/>
            <w:tcMar>
              <w:top w:type="dxa" w:w="100"/>
              <w:left w:type="dxa" w:w="120"/>
              <w:bottom w:type="dxa" w:w="100"/>
              <w:right w:type="dxa" w:w="120"/>
            </w:tcMar>
          </w:tcPr>
          <w:p>
            <w:r>
              <w:rPr>
                <w:b w:val="false"/>
                <w:bCs w:val="false"/>
                <w:color w:val="000000"/>
                <w:sz w:val="20"/>
                <w:szCs w:val="20"/>
              </w:rPr>
              <w:t xml:space="preserve">CATEGORIES, CATEGORY_SLA, ESCALATION_LABELS, and OFFICERS are declared as data tables rather than hard-coded logic</w:t>
            </w:r>
          </w:p>
        </w:tc>
      </w:tr>
    </w:tbl>
    <w:p>
      <w:pPr>
        <w:spacing w:after="200"/>
      </w:pPr>
    </w:p>
    <w:p>
      <w:pPr>
        <w:pStyle w:val="Heading2"/>
        <w:spacing w:after="120" w:before="240"/>
      </w:pPr>
      <w:r>
        <w:t xml:space="preserve">5.1 Model / ViewModel / View with Pattern Call-outs</w:t>
      </w:r>
    </w:p>
    <w:p>
      <w:pPr>
        <w:spacing w:after="80" w:before="120"/>
        <w:jc w:val="center"/>
      </w:pPr>
      <w:r>
        <w:drawing>
          <wp:inline distT="0" distB="0" distL="0" distR="0">
            <wp:extent cx="5524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00475"/>
                    </a:xfrm>
                    <a:prstGeom prst="rect">
                      <a:avLst/>
                    </a:prstGeom>
                  </pic:spPr>
                </pic:pic>
              </a:graphicData>
            </a:graphic>
          </wp:inline>
        </w:drawing>
      </w:r>
    </w:p>
    <w:p>
      <w:pPr>
        <w:spacing w:after="260"/>
        <w:jc w:val="center"/>
      </w:pPr>
      <w:r>
        <w:rPr>
          <w:i/>
          <w:iCs/>
          <w:color w:val="5F5E5A"/>
          <w:sz w:val="19"/>
          <w:szCs w:val="19"/>
        </w:rPr>
        <w:t xml:space="preserve">Figure 5.1 — The Container/Presentational split (Model / ViewModel / View) with the internal patterns used inside the ViewModel layer.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8dbde07072924f2d368ba042c95115a3f013c1.png"/><Relationship Id="rId8" Type="http://schemas.openxmlformats.org/officeDocument/2006/relationships/image" Target="media/18df14508e5f57e0cc767196b96f02fc03ee24b8.png"/><Relationship Id="rId9" Type="http://schemas.openxmlformats.org/officeDocument/2006/relationships/image" Target="media/6a5dc5a4d75f1207f1cb0b094d2da9c0b16120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2026-09-21T04:08:06.632Z</dcterms:created>
  <dcterms:modified xsi:type="dcterms:W3CDTF">2026-09-21T04:08:06.641Z</dcterms:modified>
</cp:coreProperties>
</file>

<file path=docProps/custom.xml><?xml version="1.0" encoding="utf-8"?>
<Properties xmlns="http://schemas.openxmlformats.org/officeDocument/2006/custom-properties" xmlns:vt="http://schemas.openxmlformats.org/officeDocument/2006/docPropsVTypes"/>
</file>