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4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8"/>
        <w:gridCol w:w="9152"/>
      </w:tblGrid>
      <w:tr>
        <w:tc>
          <w:tcPr>
            <w:tcW w:type="dxa" w:w="5608"/>
            <w:tcBorders>
              <w:top w:val="none"/>
              <w:left w:val="none"/>
              <w:bottom w:val="none"/>
              <w:right w:val="none"/>
            </w:tcBorders>
            <w:shd w:fill="0F2342" w:val="clear"/>
            <w:tcMar>
              <w:top w:type="dxa" w:w="80"/>
              <w:left w:type="dxa" w:w="220"/>
              <w:bottom w:type="dxa" w:w="80"/>
              <w:right w:type="dxa" w:w="100"/>
            </w:tcMar>
            <w:vAlign w:val="center"/>
          </w:tcPr>
          <w:p>
            <w:pPr>
              <w:spacing w:after="2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Secure SDLC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7DD3FC"/>
                <w:sz w:val="18"/>
                <w:szCs w:val="18"/>
              </w:rPr>
              <w:t xml:space="preserve">Reference Card  |  March 2026</w:t>
            </w:r>
          </w:p>
        </w:tc>
        <w:tc>
          <w:tcPr>
            <w:tcW w:type="dxa" w:w="9152"/>
            <w:tcBorders>
              <w:top w:val="none"/>
              <w:left w:val="none"/>
              <w:bottom w:val="none"/>
              <w:right w:val="none"/>
            </w:tcBorders>
            <w:shd w:fill="0F2342" w:val="clear"/>
            <w:tcMar>
              <w:top w:type="dxa" w:w="60"/>
              <w:left w:type="dxa" w:w="100"/>
              <w:bottom w:type="dxa" w:w="60"/>
              <w:right w:type="dxa" w:w="220"/>
            </w:tcMar>
            <w:vAlign w:val="center"/>
          </w:tcPr>
          <w:p>
            <w:pPr>
              <w:spacing w:after="24" w:before="60"/>
              <w:jc w:val="righ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BAE6FD"/>
                <w:sz w:val="22"/>
                <w:szCs w:val="22"/>
              </w:rPr>
              <w:t xml:space="preserve">GitHub  ·  Pipeline  ·  Runtime  ·  Security Testing</w:t>
            </w:r>
          </w:p>
          <w:p>
            <w:pPr>
              <w:spacing w:after="60" w:before="0"/>
              <w:jc w:val="right"/>
            </w:pPr>
            <w:r>
              <w:rPr>
                <w:rFonts w:ascii="Arial" w:cs="Arial" w:eastAsia="Arial" w:hAnsi="Arial"/>
                <w:i/>
                <w:iCs/>
                <w:color w:val="94A3B8"/>
                <w:sz w:val="17"/>
                <w:szCs w:val="17"/>
              </w:rPr>
              <w:t xml:space="preserve">Embed security at every phase — from first commit to production and beyond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147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690"/>
        <w:gridCol w:w="3690"/>
        <w:gridCol w:w="3690"/>
        <w:gridCol w:w="3690"/>
      </w:tblGrid>
      <w:tr>
        <w:tc>
          <w:tcPr>
            <w:tcW w:type="dxa" w:w="3690"/>
            <w:tcBorders>
              <w:top w:val="none"/>
              <w:left w:val="none"/>
              <w:bottom w:val="single" w:color="0F2342" w:sz="4"/>
              <w:right w:val="single" w:color="FFFFFF" w:sz="3"/>
            </w:tcBorders>
            <w:shd w:fill="0F234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GitHub Security</w:t>
            </w:r>
          </w:p>
        </w:tc>
        <w:tc>
          <w:tcPr>
            <w:tcW w:type="dxa" w:w="3690"/>
            <w:tcBorders>
              <w:top w:val="none"/>
              <w:left w:val="none"/>
              <w:bottom w:val="single" w:color="0D9488" w:sz="4"/>
              <w:right w:val="single" w:color="FFFFFF" w:sz="3"/>
            </w:tcBorders>
            <w:shd w:fill="0D948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Pipeline Security</w:t>
            </w:r>
          </w:p>
        </w:tc>
        <w:tc>
          <w:tcPr>
            <w:tcW w:type="dxa" w:w="3690"/>
            <w:tcBorders>
              <w:top w:val="none"/>
              <w:left w:val="none"/>
              <w:bottom w:val="single" w:color="B45309" w:sz="4"/>
              <w:right w:val="single" w:color="FFFFFF" w:sz="3"/>
            </w:tcBorders>
            <w:shd w:fill="B4530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Runtime Security</w:t>
            </w:r>
          </w:p>
        </w:tc>
        <w:tc>
          <w:tcPr>
            <w:tcW w:type="dxa" w:w="3690"/>
            <w:tcBorders>
              <w:top w:val="none"/>
              <w:left w:val="none"/>
              <w:bottom w:val="single" w:color="7C3AED" w:sz="4"/>
              <w:right w:val="none"/>
            </w:tcBorders>
            <w:shd w:fill="7C3AE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Security Testing</w:t>
            </w:r>
          </w:p>
        </w:tc>
      </w:tr>
      <w:tr>
        <w:tc>
          <w:tcPr>
            <w:tcW w:type="dxa" w:w="3690"/>
            <w:tcBorders>
              <w:top w:val="none"/>
              <w:left w:val="none"/>
              <w:bottom w:val="none"/>
              <w:right w:val="single" w:color="CBD5E1" w:sz="2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3690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3690"/>
            </w:tblGrid>
            <w:tr>
              <w:tc>
                <w:tcPr>
                  <w:tcW w:type="dxa" w:w="3690"/>
                  <w:tcBorders>
                    <w:top w:val="none"/>
                    <w:left w:val="single" w:color="0F2342" w:sz="8"/>
                    <w:bottom w:val="single" w:color="E2E8F0" w:sz="1"/>
                    <w:right w:val="none"/>
                  </w:tcBorders>
                  <w:shd w:fill="DBEAFE" w:val="clear"/>
                  <w:tcMar>
                    <w:top w:type="dxa" w:w="56"/>
                    <w:left w:type="dxa" w:w="180"/>
                    <w:bottom w:type="dxa" w:w="56"/>
                    <w:right w:type="dxa" w:w="80"/>
                  </w:tcMar>
                  <w:vAlign w:val="top"/>
                </w:tcPr>
                <w:p>
                  <w:pPr>
                    <w:spacing w:after="56" w:before="56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342"/>
                      <w:sz w:val="17"/>
                      <w:szCs w:val="17"/>
                    </w:rPr>
                    <w:t xml:space="preserve">Branch Protection: </w:t>
                  </w:r>
                  <w:r>
                    <w:rPr>
                      <w:rFonts w:ascii="Arial" w:cs="Arial" w:eastAsia="Arial" w:hAnsi="Arial"/>
                      <w:color w:val="1E293B"/>
                      <w:sz w:val="17"/>
                      <w:szCs w:val="17"/>
                    </w:rPr>
                    <w:t xml:space="preserve">2 required reviewers, no force push, signed commits, enforce admins</w:t>
                  </w:r>
                </w:p>
              </w:tc>
            </w:tr>
            <w:tr>
              <w:tc>
                <w:tcPr>
                  <w:tcW w:type="dxa" w:w="3690"/>
                  <w:tcBorders>
                    <w:top w:val="none"/>
                    <w:left w:val="single" w:color="0F2342" w:sz="8"/>
                    <w:bottom w:val="single" w:color="E2E8F0" w:sz="1"/>
                    <w:right w:val="none"/>
                  </w:tcBorders>
                  <w:shd w:fill="FFFFFF" w:val="clear"/>
                  <w:tcMar>
                    <w:top w:type="dxa" w:w="56"/>
                    <w:left w:type="dxa" w:w="180"/>
                    <w:bottom w:type="dxa" w:w="56"/>
                    <w:right w:type="dxa" w:w="80"/>
                  </w:tcMar>
                  <w:vAlign w:val="top"/>
                </w:tcPr>
                <w:p>
                  <w:pPr>
                    <w:spacing w:after="56" w:before="56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342"/>
                      <w:sz w:val="17"/>
                      <w:szCs w:val="17"/>
                    </w:rPr>
                    <w:t xml:space="preserve">CODEOWNERS: </w:t>
                  </w:r>
                  <w:r>
                    <w:rPr>
                      <w:rFonts w:ascii="Arial" w:cs="Arial" w:eastAsia="Arial" w:hAnsi="Arial"/>
                      <w:color w:val="1E293B"/>
                      <w:sz w:val="17"/>
                      <w:szCs w:val="17"/>
                    </w:rPr>
                    <w:t xml:space="preserve">Auth / crypto / infra / .github paths require security team approval</w:t>
                  </w:r>
                </w:p>
              </w:tc>
            </w:tr>
            <w:tr>
              <w:tc>
                <w:tcPr>
                  <w:tcW w:type="dxa" w:w="3690"/>
                  <w:tcBorders>
                    <w:top w:val="none"/>
                    <w:left w:val="single" w:color="0F2342" w:sz="8"/>
                    <w:bottom w:val="single" w:color="E2E8F0" w:sz="1"/>
                    <w:right w:val="none"/>
                  </w:tcBorders>
                  <w:shd w:fill="DBEAFE" w:val="clear"/>
                  <w:tcMar>
                    <w:top w:type="dxa" w:w="56"/>
                    <w:left w:type="dxa" w:w="180"/>
                    <w:bottom w:type="dxa" w:w="56"/>
                    <w:right w:type="dxa" w:w="80"/>
                  </w:tcMar>
                  <w:vAlign w:val="top"/>
                </w:tcPr>
                <w:p>
                  <w:pPr>
                    <w:spacing w:after="56" w:before="56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342"/>
                      <w:sz w:val="17"/>
                      <w:szCs w:val="17"/>
                    </w:rPr>
                    <w:t xml:space="preserve">Secret Scanning: </w:t>
                  </w:r>
                  <w:r>
                    <w:rPr>
                      <w:rFonts w:ascii="Arial" w:cs="Arial" w:eastAsia="Arial" w:hAnsi="Arial"/>
                      <w:color w:val="1E293B"/>
                      <w:sz w:val="17"/>
                      <w:szCs w:val="17"/>
                    </w:rPr>
                    <w:t xml:space="preserve">Push protection blocks 200+ patterns (API keys, tokens, certs) pre-merge</w:t>
                  </w:r>
                </w:p>
              </w:tc>
            </w:tr>
            <w:tr>
              <w:tc>
                <w:tcPr>
                  <w:tcW w:type="dxa" w:w="3690"/>
                  <w:tcBorders>
                    <w:top w:val="none"/>
                    <w:left w:val="single" w:color="0F2342" w:sz="8"/>
                    <w:bottom w:val="single" w:color="E2E8F0" w:sz="1"/>
                    <w:right w:val="none"/>
                  </w:tcBorders>
                  <w:shd w:fill="FFFFFF" w:val="clear"/>
                  <w:tcMar>
                    <w:top w:type="dxa" w:w="56"/>
                    <w:left w:type="dxa" w:w="180"/>
                    <w:bottom w:type="dxa" w:w="56"/>
                    <w:right w:type="dxa" w:w="80"/>
                  </w:tcMar>
                  <w:vAlign w:val="top"/>
                </w:tcPr>
                <w:p>
                  <w:pPr>
                    <w:spacing w:after="56" w:before="56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342"/>
                      <w:sz w:val="17"/>
                      <w:szCs w:val="17"/>
                    </w:rPr>
                    <w:t xml:space="preserve">CodeQL / GHAS: </w:t>
                  </w:r>
                  <w:r>
                    <w:rPr>
                      <w:rFonts w:ascii="Arial" w:cs="Arial" w:eastAsia="Arial" w:hAnsi="Arial"/>
                      <w:color w:val="1E293B"/>
                      <w:sz w:val="17"/>
                      <w:szCs w:val="17"/>
                    </w:rPr>
                    <w:t xml:space="preserve">SAST on every PR, security-extended query suite, SARIF to Security tab</w:t>
                  </w:r>
                </w:p>
              </w:tc>
            </w:tr>
            <w:tr>
              <w:tc>
                <w:tcPr>
                  <w:tcW w:type="dxa" w:w="3690"/>
                  <w:tcBorders>
                    <w:top w:val="none"/>
                    <w:left w:val="single" w:color="0F2342" w:sz="8"/>
                    <w:bottom w:val="single" w:color="E2E8F0" w:sz="1"/>
                    <w:right w:val="none"/>
                  </w:tcBorders>
                  <w:shd w:fill="DBEAFE" w:val="clear"/>
                  <w:tcMar>
                    <w:top w:type="dxa" w:w="56"/>
                    <w:left w:type="dxa" w:w="180"/>
                    <w:bottom w:type="dxa" w:w="56"/>
                    <w:right w:type="dxa" w:w="80"/>
                  </w:tcMar>
                  <w:vAlign w:val="top"/>
                </w:tcPr>
                <w:p>
                  <w:pPr>
                    <w:spacing w:after="56" w:before="56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342"/>
                      <w:sz w:val="17"/>
                      <w:szCs w:val="17"/>
                    </w:rPr>
                    <w:t xml:space="preserve">Dependabot: </w:t>
                  </w:r>
                  <w:r>
                    <w:rPr>
                      <w:rFonts w:ascii="Arial" w:cs="Arial" w:eastAsia="Arial" w:hAnsi="Arial"/>
                      <w:color w:val="1E293B"/>
                      <w:sz w:val="17"/>
                      <w:szCs w:val="17"/>
                    </w:rPr>
                    <w:t xml:space="preserve">Daily CVE feed, auto-PRs for vulnerable deps, org-wide policy enforced</w:t>
                  </w:r>
                </w:p>
              </w:tc>
            </w:tr>
            <w:tr>
              <w:tc>
                <w:tcPr>
                  <w:tcW w:type="dxa" w:w="3690"/>
                  <w:tcBorders>
                    <w:top w:val="none"/>
                    <w:left w:val="single" w:color="0F2342" w:sz="8"/>
                    <w:bottom w:val="single" w:color="E2E8F0" w:sz="1"/>
                    <w:right w:val="none"/>
                  </w:tcBorders>
                  <w:shd w:fill="FFFFFF" w:val="clear"/>
                  <w:tcMar>
                    <w:top w:type="dxa" w:w="56"/>
                    <w:left w:type="dxa" w:w="180"/>
                    <w:bottom w:type="dxa" w:w="56"/>
                    <w:right w:type="dxa" w:w="80"/>
                  </w:tcMar>
                  <w:vAlign w:val="top"/>
                </w:tcPr>
                <w:p>
                  <w:pPr>
                    <w:spacing w:after="56" w:before="56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342"/>
                      <w:sz w:val="17"/>
                      <w:szCs w:val="17"/>
                    </w:rPr>
                    <w:t xml:space="preserve">Signed Commits: </w:t>
                  </w:r>
                  <w:r>
                    <w:rPr>
                      <w:rFonts w:ascii="Arial" w:cs="Arial" w:eastAsia="Arial" w:hAnsi="Arial"/>
                      <w:color w:val="1E293B"/>
                      <w:sz w:val="17"/>
                      <w:szCs w:val="17"/>
                    </w:rPr>
                    <w:t xml:space="preserve">GPG / SSH commit signing enforced org-wide via repository rulesets</w:t>
                  </w:r>
                </w:p>
              </w:tc>
            </w:tr>
          </w:tbl>
          <w:p/>
        </w:tc>
        <w:tc>
          <w:tcPr>
            <w:tcW w:type="dxa" w:w="3690"/>
            <w:tcBorders>
              <w:top w:val="none"/>
              <w:left w:val="none"/>
              <w:bottom w:val="none"/>
              <w:right w:val="single" w:color="CBD5E1" w:sz="2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3690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3690"/>
            </w:tblGrid>
            <w:tr>
              <w:tc>
                <w:tcPr>
                  <w:tcW w:type="dxa" w:w="3690"/>
                  <w:tcBorders>
                    <w:top w:val="none"/>
                    <w:left w:val="single" w:color="0D9488" w:sz="8"/>
                    <w:bottom w:val="single" w:color="E2E8F0" w:sz="1"/>
                    <w:right w:val="none"/>
                  </w:tcBorders>
                  <w:shd w:fill="CCFBF1" w:val="clear"/>
                  <w:tcMar>
                    <w:top w:type="dxa" w:w="56"/>
                    <w:left w:type="dxa" w:w="180"/>
                    <w:bottom w:type="dxa" w:w="56"/>
                    <w:right w:type="dxa" w:w="80"/>
                  </w:tcMar>
                  <w:vAlign w:val="top"/>
                </w:tcPr>
                <w:p>
                  <w:pPr>
                    <w:spacing w:after="56" w:before="56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D9488"/>
                      <w:sz w:val="17"/>
                      <w:szCs w:val="17"/>
                    </w:rPr>
                    <w:t xml:space="preserve">SAST: </w:t>
                  </w:r>
                  <w:r>
                    <w:rPr>
                      <w:rFonts w:ascii="Arial" w:cs="Arial" w:eastAsia="Arial" w:hAnsi="Arial"/>
                      <w:color w:val="1E293B"/>
                      <w:sz w:val="17"/>
                      <w:szCs w:val="17"/>
                    </w:rPr>
                    <w:t xml:space="preserve">Semgrep (OWASP Top 10, CWE-25) + SonarQube, blocks Critical / High</w:t>
                  </w:r>
                </w:p>
              </w:tc>
            </w:tr>
            <w:tr>
              <w:tc>
                <w:tcPr>
                  <w:tcW w:type="dxa" w:w="3690"/>
                  <w:tcBorders>
                    <w:top w:val="none"/>
                    <w:left w:val="single" w:color="0D9488" w:sz="8"/>
                    <w:bottom w:val="single" w:color="E2E8F0" w:sz="1"/>
                    <w:right w:val="none"/>
                  </w:tcBorders>
                  <w:shd w:fill="FFFFFF" w:val="clear"/>
                  <w:tcMar>
                    <w:top w:type="dxa" w:w="56"/>
                    <w:left w:type="dxa" w:w="180"/>
                    <w:bottom w:type="dxa" w:w="56"/>
                    <w:right w:type="dxa" w:w="80"/>
                  </w:tcMar>
                  <w:vAlign w:val="top"/>
                </w:tcPr>
                <w:p>
                  <w:pPr>
                    <w:spacing w:after="56" w:before="56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D9488"/>
                      <w:sz w:val="17"/>
                      <w:szCs w:val="17"/>
                    </w:rPr>
                    <w:t xml:space="preserve">SCA: </w:t>
                  </w:r>
                  <w:r>
                    <w:rPr>
                      <w:rFonts w:ascii="Arial" w:cs="Arial" w:eastAsia="Arial" w:hAnsi="Arial"/>
                      <w:color w:val="1E293B"/>
                      <w:sz w:val="17"/>
                      <w:szCs w:val="17"/>
                    </w:rPr>
                    <w:t xml:space="preserve">Snyk + Dependabot, license scanning, patching SLAs enforced in CI</w:t>
                  </w:r>
                </w:p>
              </w:tc>
            </w:tr>
            <w:tr>
              <w:tc>
                <w:tcPr>
                  <w:tcW w:type="dxa" w:w="3690"/>
                  <w:tcBorders>
                    <w:top w:val="none"/>
                    <w:left w:val="single" w:color="0D9488" w:sz="8"/>
                    <w:bottom w:val="single" w:color="E2E8F0" w:sz="1"/>
                    <w:right w:val="none"/>
                  </w:tcBorders>
                  <w:shd w:fill="CCFBF1" w:val="clear"/>
                  <w:tcMar>
                    <w:top w:type="dxa" w:w="56"/>
                    <w:left w:type="dxa" w:w="180"/>
                    <w:bottom w:type="dxa" w:w="56"/>
                    <w:right w:type="dxa" w:w="80"/>
                  </w:tcMar>
                  <w:vAlign w:val="top"/>
                </w:tcPr>
                <w:p>
                  <w:pPr>
                    <w:spacing w:after="56" w:before="56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D9488"/>
                      <w:sz w:val="17"/>
                      <w:szCs w:val="17"/>
                    </w:rPr>
                    <w:t xml:space="preserve">IaC Scanning: </w:t>
                  </w:r>
                  <w:r>
                    <w:rPr>
                      <w:rFonts w:ascii="Arial" w:cs="Arial" w:eastAsia="Arial" w:hAnsi="Arial"/>
                      <w:color w:val="1E293B"/>
                      <w:sz w:val="17"/>
                      <w:szCs w:val="17"/>
                    </w:rPr>
                    <w:t xml:space="preserve">Checkov + tfsec on every Terraform / Kubernetes PR, zero misconfigs</w:t>
                  </w:r>
                </w:p>
              </w:tc>
            </w:tr>
            <w:tr>
              <w:tc>
                <w:tcPr>
                  <w:tcW w:type="dxa" w:w="3690"/>
                  <w:tcBorders>
                    <w:top w:val="none"/>
                    <w:left w:val="single" w:color="0D9488" w:sz="8"/>
                    <w:bottom w:val="single" w:color="E2E8F0" w:sz="1"/>
                    <w:right w:val="none"/>
                  </w:tcBorders>
                  <w:shd w:fill="FFFFFF" w:val="clear"/>
                  <w:tcMar>
                    <w:top w:type="dxa" w:w="56"/>
                    <w:left w:type="dxa" w:w="180"/>
                    <w:bottom w:type="dxa" w:w="56"/>
                    <w:right w:type="dxa" w:w="80"/>
                  </w:tcMar>
                  <w:vAlign w:val="top"/>
                </w:tcPr>
                <w:p>
                  <w:pPr>
                    <w:spacing w:after="56" w:before="56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D9488"/>
                      <w:sz w:val="17"/>
                      <w:szCs w:val="17"/>
                    </w:rPr>
                    <w:t xml:space="preserve">Container Scan: </w:t>
                  </w:r>
                  <w:r>
                    <w:rPr>
                      <w:rFonts w:ascii="Arial" w:cs="Arial" w:eastAsia="Arial" w:hAnsi="Arial"/>
                      <w:color w:val="1E293B"/>
                      <w:sz w:val="17"/>
                      <w:szCs w:val="17"/>
                    </w:rPr>
                    <w:t xml:space="preserve">Trivy blocks HIGH/CRITICAL CVEs; Cosign signs image on every push</w:t>
                  </w:r>
                </w:p>
              </w:tc>
            </w:tr>
            <w:tr>
              <w:tc>
                <w:tcPr>
                  <w:tcW w:type="dxa" w:w="3690"/>
                  <w:tcBorders>
                    <w:top w:val="none"/>
                    <w:left w:val="single" w:color="0D9488" w:sz="8"/>
                    <w:bottom w:val="single" w:color="E2E8F0" w:sz="1"/>
                    <w:right w:val="none"/>
                  </w:tcBorders>
                  <w:shd w:fill="CCFBF1" w:val="clear"/>
                  <w:tcMar>
                    <w:top w:type="dxa" w:w="56"/>
                    <w:left w:type="dxa" w:w="180"/>
                    <w:bottom w:type="dxa" w:w="56"/>
                    <w:right w:type="dxa" w:w="80"/>
                  </w:tcMar>
                  <w:vAlign w:val="top"/>
                </w:tcPr>
                <w:p>
                  <w:pPr>
                    <w:spacing w:after="56" w:before="56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D9488"/>
                      <w:sz w:val="17"/>
                      <w:szCs w:val="17"/>
                    </w:rPr>
                    <w:t xml:space="preserve">Artifact Signing: </w:t>
                  </w:r>
                  <w:r>
                    <w:rPr>
                      <w:rFonts w:ascii="Arial" w:cs="Arial" w:eastAsia="Arial" w:hAnsi="Arial"/>
                      <w:color w:val="1E293B"/>
                      <w:sz w:val="17"/>
                      <w:szCs w:val="17"/>
                    </w:rPr>
                    <w:t xml:space="preserve">Cosign + SLSA provenance attestation; SBOM via Syft (SPDX / CycloneDX)</w:t>
                  </w:r>
                </w:p>
              </w:tc>
            </w:tr>
            <w:tr>
              <w:tc>
                <w:tcPr>
                  <w:tcW w:type="dxa" w:w="3690"/>
                  <w:tcBorders>
                    <w:top w:val="none"/>
                    <w:left w:val="single" w:color="0D9488" w:sz="8"/>
                    <w:bottom w:val="single" w:color="E2E8F0" w:sz="1"/>
                    <w:right w:val="none"/>
                  </w:tcBorders>
                  <w:shd w:fill="FFFFFF" w:val="clear"/>
                  <w:tcMar>
                    <w:top w:type="dxa" w:w="56"/>
                    <w:left w:type="dxa" w:w="180"/>
                    <w:bottom w:type="dxa" w:w="56"/>
                    <w:right w:type="dxa" w:w="80"/>
                  </w:tcMar>
                  <w:vAlign w:val="top"/>
                </w:tcPr>
                <w:p>
                  <w:pPr>
                    <w:spacing w:after="56" w:before="56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D9488"/>
                      <w:sz w:val="17"/>
                      <w:szCs w:val="17"/>
                    </w:rPr>
                    <w:t xml:space="preserve">Approval Gates: </w:t>
                  </w:r>
                  <w:r>
                    <w:rPr>
                      <w:rFonts w:ascii="Arial" w:cs="Arial" w:eastAsia="Arial" w:hAnsi="Arial"/>
                      <w:color w:val="1E293B"/>
                      <w:sz w:val="17"/>
                      <w:szCs w:val="17"/>
                    </w:rPr>
                    <w:t xml:space="preserve">GitHub Environment protection: 2 reviewers required for production</w:t>
                  </w:r>
                </w:p>
              </w:tc>
            </w:tr>
            <w:tr>
              <w:tc>
                <w:tcPr>
                  <w:tcW w:type="dxa" w:w="3690"/>
                  <w:tcBorders>
                    <w:top w:val="none"/>
                    <w:left w:val="single" w:color="0D9488" w:sz="8"/>
                    <w:bottom w:val="single" w:color="E2E8F0" w:sz="1"/>
                    <w:right w:val="none"/>
                  </w:tcBorders>
                  <w:shd w:fill="CCFBF1" w:val="clear"/>
                  <w:tcMar>
                    <w:top w:type="dxa" w:w="56"/>
                    <w:left w:type="dxa" w:w="180"/>
                    <w:bottom w:type="dxa" w:w="56"/>
                    <w:right w:type="dxa" w:w="80"/>
                  </w:tcMar>
                  <w:vAlign w:val="top"/>
                </w:tcPr>
                <w:p>
                  <w:pPr>
                    <w:spacing w:after="56" w:before="56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D9488"/>
                      <w:sz w:val="17"/>
                      <w:szCs w:val="17"/>
                    </w:rPr>
                    <w:t xml:space="preserve">Semantic Release: </w:t>
                  </w:r>
                  <w:r>
                    <w:rPr>
                      <w:rFonts w:ascii="Arial" w:cs="Arial" w:eastAsia="Arial" w:hAnsi="Arial"/>
                      <w:color w:val="1E293B"/>
                      <w:sz w:val="17"/>
                      <w:szCs w:val="17"/>
                    </w:rPr>
                    <w:t xml:space="preserve">Conventional commits → auto versioning → changelog → signed release</w:t>
                  </w:r>
                </w:p>
              </w:tc>
            </w:tr>
          </w:tbl>
          <w:p/>
        </w:tc>
        <w:tc>
          <w:tcPr>
            <w:tcW w:type="dxa" w:w="3690"/>
            <w:tcBorders>
              <w:top w:val="none"/>
              <w:left w:val="none"/>
              <w:bottom w:val="none"/>
              <w:right w:val="single" w:color="CBD5E1" w:sz="2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3690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3690"/>
            </w:tblGrid>
            <w:tr>
              <w:tc>
                <w:tcPr>
                  <w:tcW w:type="dxa" w:w="3690"/>
                  <w:tcBorders>
                    <w:top w:val="none"/>
                    <w:left w:val="single" w:color="B45309" w:sz="8"/>
                    <w:bottom w:val="single" w:color="E2E8F0" w:sz="1"/>
                    <w:right w:val="none"/>
                  </w:tcBorders>
                  <w:shd w:fill="FEF3C7" w:val="clear"/>
                  <w:tcMar>
                    <w:top w:type="dxa" w:w="56"/>
                    <w:left w:type="dxa" w:w="180"/>
                    <w:bottom w:type="dxa" w:w="56"/>
                    <w:right w:type="dxa" w:w="80"/>
                  </w:tcMar>
                  <w:vAlign w:val="top"/>
                </w:tcPr>
                <w:p>
                  <w:pPr>
                    <w:spacing w:after="56" w:before="56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7"/>
                      <w:szCs w:val="17"/>
                    </w:rPr>
                    <w:t xml:space="preserve">DAST: </w:t>
                  </w:r>
                  <w:r>
                    <w:rPr>
                      <w:rFonts w:ascii="Arial" w:cs="Arial" w:eastAsia="Arial" w:hAnsi="Arial"/>
                      <w:color w:val="1E293B"/>
                      <w:sz w:val="17"/>
                      <w:szCs w:val="17"/>
                    </w:rPr>
                    <w:t xml:space="preserve">OWASP ZAP baseline on every staging deploy, full scan weekly</w:t>
                  </w:r>
                </w:p>
              </w:tc>
            </w:tr>
            <w:tr>
              <w:tc>
                <w:tcPr>
                  <w:tcW w:type="dxa" w:w="3690"/>
                  <w:tcBorders>
                    <w:top w:val="none"/>
                    <w:left w:val="single" w:color="B45309" w:sz="8"/>
                    <w:bottom w:val="single" w:color="E2E8F0" w:sz="1"/>
                    <w:right w:val="none"/>
                  </w:tcBorders>
                  <w:shd w:fill="FFFFFF" w:val="clear"/>
                  <w:tcMar>
                    <w:top w:type="dxa" w:w="56"/>
                    <w:left w:type="dxa" w:w="180"/>
                    <w:bottom w:type="dxa" w:w="56"/>
                    <w:right w:type="dxa" w:w="80"/>
                  </w:tcMar>
                  <w:vAlign w:val="top"/>
                </w:tcPr>
                <w:p>
                  <w:pPr>
                    <w:spacing w:after="56" w:before="56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7"/>
                      <w:szCs w:val="17"/>
                    </w:rPr>
                    <w:t xml:space="preserve">IAST: </w:t>
                  </w:r>
                  <w:r>
                    <w:rPr>
                      <w:rFonts w:ascii="Arial" w:cs="Arial" w:eastAsia="Arial" w:hAnsi="Arial"/>
                      <w:color w:val="1E293B"/>
                      <w:sz w:val="17"/>
                      <w:szCs w:val="17"/>
                    </w:rPr>
                    <w:t xml:space="preserve">Contrast Security / Seeker — real-time analysis during integration tests</w:t>
                  </w:r>
                </w:p>
              </w:tc>
            </w:tr>
            <w:tr>
              <w:tc>
                <w:tcPr>
                  <w:tcW w:type="dxa" w:w="3690"/>
                  <w:tcBorders>
                    <w:top w:val="none"/>
                    <w:left w:val="single" w:color="B45309" w:sz="8"/>
                    <w:bottom w:val="single" w:color="E2E8F0" w:sz="1"/>
                    <w:right w:val="none"/>
                  </w:tcBorders>
                  <w:shd w:fill="FEF3C7" w:val="clear"/>
                  <w:tcMar>
                    <w:top w:type="dxa" w:w="56"/>
                    <w:left w:type="dxa" w:w="180"/>
                    <w:bottom w:type="dxa" w:w="56"/>
                    <w:right w:type="dxa" w:w="80"/>
                  </w:tcMar>
                  <w:vAlign w:val="top"/>
                </w:tcPr>
                <w:p>
                  <w:pPr>
                    <w:spacing w:after="56" w:before="56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7"/>
                      <w:szCs w:val="17"/>
                    </w:rPr>
                    <w:t xml:space="preserve">WAF: </w:t>
                  </w:r>
                  <w:r>
                    <w:rPr>
                      <w:rFonts w:ascii="Arial" w:cs="Arial" w:eastAsia="Arial" w:hAnsi="Arial"/>
                      <w:color w:val="1E293B"/>
                      <w:sz w:val="17"/>
                      <w:szCs w:val="17"/>
                    </w:rPr>
                    <w:t xml:space="preserve">Web Application Firewall with OWASP Core Rule Set + custom rules</w:t>
                  </w:r>
                </w:p>
              </w:tc>
            </w:tr>
            <w:tr>
              <w:tc>
                <w:tcPr>
                  <w:tcW w:type="dxa" w:w="3690"/>
                  <w:tcBorders>
                    <w:top w:val="none"/>
                    <w:left w:val="single" w:color="B45309" w:sz="8"/>
                    <w:bottom w:val="single" w:color="E2E8F0" w:sz="1"/>
                    <w:right w:val="none"/>
                  </w:tcBorders>
                  <w:shd w:fill="FFFFFF" w:val="clear"/>
                  <w:tcMar>
                    <w:top w:type="dxa" w:w="56"/>
                    <w:left w:type="dxa" w:w="180"/>
                    <w:bottom w:type="dxa" w:w="56"/>
                    <w:right w:type="dxa" w:w="80"/>
                  </w:tcMar>
                  <w:vAlign w:val="top"/>
                </w:tcPr>
                <w:p>
                  <w:pPr>
                    <w:spacing w:after="56" w:before="56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7"/>
                      <w:szCs w:val="17"/>
                    </w:rPr>
                    <w:t xml:space="preserve">SIEM / Logging: </w:t>
                  </w:r>
                  <w:r>
                    <w:rPr>
                      <w:rFonts w:ascii="Arial" w:cs="Arial" w:eastAsia="Arial" w:hAnsi="Arial"/>
                      <w:color w:val="1E293B"/>
                      <w:sz w:val="17"/>
                      <w:szCs w:val="17"/>
                    </w:rPr>
                    <w:t xml:space="preserve">Centralised logs, no PII/secrets logged, audit trail for compliance</w:t>
                  </w:r>
                </w:p>
              </w:tc>
            </w:tr>
            <w:tr>
              <w:tc>
                <w:tcPr>
                  <w:tcW w:type="dxa" w:w="3690"/>
                  <w:tcBorders>
                    <w:top w:val="none"/>
                    <w:left w:val="single" w:color="B45309" w:sz="8"/>
                    <w:bottom w:val="single" w:color="E2E8F0" w:sz="1"/>
                    <w:right w:val="none"/>
                  </w:tcBorders>
                  <w:shd w:fill="FEF3C7" w:val="clear"/>
                  <w:tcMar>
                    <w:top w:type="dxa" w:w="56"/>
                    <w:left w:type="dxa" w:w="180"/>
                    <w:bottom w:type="dxa" w:w="56"/>
                    <w:right w:type="dxa" w:w="80"/>
                  </w:tcMar>
                  <w:vAlign w:val="top"/>
                </w:tcPr>
                <w:p>
                  <w:pPr>
                    <w:spacing w:after="56" w:before="56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7"/>
                      <w:szCs w:val="17"/>
                    </w:rPr>
                    <w:t xml:space="preserve">Secrets Runtime: </w:t>
                  </w:r>
                  <w:r>
                    <w:rPr>
                      <w:rFonts w:ascii="Arial" w:cs="Arial" w:eastAsia="Arial" w:hAnsi="Arial"/>
                      <w:color w:val="1E293B"/>
                      <w:sz w:val="17"/>
                      <w:szCs w:val="17"/>
                    </w:rPr>
                    <w:t xml:space="preserve">HashiCorp Vault OIDC; dynamic short-lived credentials (1 h TTL)</w:t>
                  </w:r>
                </w:p>
              </w:tc>
            </w:tr>
            <w:tr>
              <w:tc>
                <w:tcPr>
                  <w:tcW w:type="dxa" w:w="3690"/>
                  <w:tcBorders>
                    <w:top w:val="none"/>
                    <w:left w:val="single" w:color="B45309" w:sz="8"/>
                    <w:bottom w:val="single" w:color="E2E8F0" w:sz="1"/>
                    <w:right w:val="none"/>
                  </w:tcBorders>
                  <w:shd w:fill="FFFFFF" w:val="clear"/>
                  <w:tcMar>
                    <w:top w:type="dxa" w:w="56"/>
                    <w:left w:type="dxa" w:w="180"/>
                    <w:bottom w:type="dxa" w:w="56"/>
                    <w:right w:type="dxa" w:w="80"/>
                  </w:tcMar>
                  <w:vAlign w:val="top"/>
                </w:tcPr>
                <w:p>
                  <w:pPr>
                    <w:spacing w:after="56" w:before="56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7"/>
                      <w:szCs w:val="17"/>
                    </w:rPr>
                    <w:t xml:space="preserve">CVE Patching SLA: </w:t>
                  </w:r>
                  <w:r>
                    <w:rPr>
                      <w:rFonts w:ascii="Arial" w:cs="Arial" w:eastAsia="Arial" w:hAnsi="Arial"/>
                      <w:color w:val="1E293B"/>
                      <w:sz w:val="17"/>
                      <w:szCs w:val="17"/>
                    </w:rPr>
                    <w:t xml:space="preserve">Critical &lt; 24 h  |  High &lt; 7 days  |  Medium &lt; 30 days</w:t>
                  </w:r>
                </w:p>
              </w:tc>
            </w:tr>
            <w:tr>
              <w:tc>
                <w:tcPr>
                  <w:tcW w:type="dxa" w:w="3690"/>
                  <w:tcBorders>
                    <w:top w:val="none"/>
                    <w:left w:val="single" w:color="B45309" w:sz="8"/>
                    <w:bottom w:val="single" w:color="E2E8F0" w:sz="1"/>
                    <w:right w:val="none"/>
                  </w:tcBorders>
                  <w:shd w:fill="FEF3C7" w:val="clear"/>
                  <w:tcMar>
                    <w:top w:type="dxa" w:w="56"/>
                    <w:left w:type="dxa" w:w="180"/>
                    <w:bottom w:type="dxa" w:w="56"/>
                    <w:right w:type="dxa" w:w="80"/>
                  </w:tcMar>
                  <w:vAlign w:val="top"/>
                </w:tcPr>
                <w:p>
                  <w:pPr>
                    <w:spacing w:after="56" w:before="56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7"/>
                      <w:szCs w:val="17"/>
                    </w:rPr>
                    <w:t xml:space="preserve">Feature Flags: </w:t>
                  </w:r>
                  <w:r>
                    <w:rPr>
                      <w:rFonts w:ascii="Arial" w:cs="Arial" w:eastAsia="Arial" w:hAnsi="Arial"/>
                      <w:color w:val="1E293B"/>
                      <w:sz w:val="17"/>
                      <w:szCs w:val="17"/>
                    </w:rPr>
                    <w:t xml:space="preserve">Instant kill-switch to disable vulnerable features without redeploying</w:t>
                  </w:r>
                </w:p>
              </w:tc>
            </w:tr>
          </w:tbl>
          <w:p/>
        </w:tc>
        <w:tc>
          <w:tcPr>
            <w:tcW w:type="dxa" w:w="369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3690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3690"/>
            </w:tblGrid>
            <w:tr>
              <w:tc>
                <w:tcPr>
                  <w:tcW w:type="dxa" w:w="3690"/>
                  <w:tcBorders>
                    <w:top w:val="none"/>
                    <w:left w:val="single" w:color="7C3AED" w:sz="8"/>
                    <w:bottom w:val="single" w:color="E2E8F0" w:sz="1"/>
                    <w:right w:val="none"/>
                  </w:tcBorders>
                  <w:shd w:fill="EDE9FE" w:val="clear"/>
                  <w:tcMar>
                    <w:top w:type="dxa" w:w="56"/>
                    <w:left w:type="dxa" w:w="180"/>
                    <w:bottom w:type="dxa" w:w="56"/>
                    <w:right w:type="dxa" w:w="80"/>
                  </w:tcMar>
                  <w:vAlign w:val="top"/>
                </w:tcPr>
                <w:p>
                  <w:pPr>
                    <w:spacing w:after="56" w:before="56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C3AED"/>
                      <w:sz w:val="17"/>
                      <w:szCs w:val="17"/>
                    </w:rPr>
                    <w:t xml:space="preserve">Pen Testing: </w:t>
                  </w:r>
                  <w:r>
                    <w:rPr>
                      <w:rFonts w:ascii="Arial" w:cs="Arial" w:eastAsia="Arial" w:hAnsi="Arial"/>
                      <w:color w:val="1E293B"/>
                      <w:sz w:val="17"/>
                      <w:szCs w:val="17"/>
                    </w:rPr>
                    <w:t xml:space="preserve">Manual + Burp Suite / Metasploit before every major release</w:t>
                  </w:r>
                </w:p>
              </w:tc>
            </w:tr>
            <w:tr>
              <w:tc>
                <w:tcPr>
                  <w:tcW w:type="dxa" w:w="3690"/>
                  <w:tcBorders>
                    <w:top w:val="none"/>
                    <w:left w:val="single" w:color="7C3AED" w:sz="8"/>
                    <w:bottom w:val="single" w:color="E2E8F0" w:sz="1"/>
                    <w:right w:val="none"/>
                  </w:tcBorders>
                  <w:shd w:fill="FFFFFF" w:val="clear"/>
                  <w:tcMar>
                    <w:top w:type="dxa" w:w="56"/>
                    <w:left w:type="dxa" w:w="180"/>
                    <w:bottom w:type="dxa" w:w="56"/>
                    <w:right w:type="dxa" w:w="80"/>
                  </w:tcMar>
                  <w:vAlign w:val="top"/>
                </w:tcPr>
                <w:p>
                  <w:pPr>
                    <w:spacing w:after="56" w:before="56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C3AED"/>
                      <w:sz w:val="17"/>
                      <w:szCs w:val="17"/>
                    </w:rPr>
                    <w:t xml:space="preserve">Fuzz Testing: </w:t>
                  </w:r>
                  <w:r>
                    <w:rPr>
                      <w:rFonts w:ascii="Arial" w:cs="Arial" w:eastAsia="Arial" w:hAnsi="Arial"/>
                      <w:color w:val="1E293B"/>
                      <w:sz w:val="17"/>
                      <w:szCs w:val="17"/>
                    </w:rPr>
                    <w:t xml:space="preserve">AFL++ / LibFuzzer / OSS-Fuzz nightly on all input-handling code paths</w:t>
                  </w:r>
                </w:p>
              </w:tc>
            </w:tr>
            <w:tr>
              <w:tc>
                <w:tcPr>
                  <w:tcW w:type="dxa" w:w="3690"/>
                  <w:tcBorders>
                    <w:top w:val="none"/>
                    <w:left w:val="single" w:color="7C3AED" w:sz="8"/>
                    <w:bottom w:val="single" w:color="E2E8F0" w:sz="1"/>
                    <w:right w:val="none"/>
                  </w:tcBorders>
                  <w:shd w:fill="EDE9FE" w:val="clear"/>
                  <w:tcMar>
                    <w:top w:type="dxa" w:w="56"/>
                    <w:left w:type="dxa" w:w="180"/>
                    <w:bottom w:type="dxa" w:w="56"/>
                    <w:right w:type="dxa" w:w="80"/>
                  </w:tcMar>
                  <w:vAlign w:val="top"/>
                </w:tcPr>
                <w:p>
                  <w:pPr>
                    <w:spacing w:after="56" w:before="56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C3AED"/>
                      <w:sz w:val="17"/>
                      <w:szCs w:val="17"/>
                    </w:rPr>
                    <w:t xml:space="preserve">API Security: </w:t>
                  </w:r>
                  <w:r>
                    <w:rPr>
                      <w:rFonts w:ascii="Arial" w:cs="Arial" w:eastAsia="Arial" w:hAnsi="Arial"/>
                      <w:color w:val="1E293B"/>
                      <w:sz w:val="17"/>
                      <w:szCs w:val="17"/>
                    </w:rPr>
                    <w:t xml:space="preserve">OWASP API Top 10: auth bypass, rate limiting, injection test suite</w:t>
                  </w:r>
                </w:p>
              </w:tc>
            </w:tr>
            <w:tr>
              <w:tc>
                <w:tcPr>
                  <w:tcW w:type="dxa" w:w="3690"/>
                  <w:tcBorders>
                    <w:top w:val="none"/>
                    <w:left w:val="single" w:color="7C3AED" w:sz="8"/>
                    <w:bottom w:val="single" w:color="E2E8F0" w:sz="1"/>
                    <w:right w:val="none"/>
                  </w:tcBorders>
                  <w:shd w:fill="FFFFFF" w:val="clear"/>
                  <w:tcMar>
                    <w:top w:type="dxa" w:w="56"/>
                    <w:left w:type="dxa" w:w="180"/>
                    <w:bottom w:type="dxa" w:w="56"/>
                    <w:right w:type="dxa" w:w="80"/>
                  </w:tcMar>
                  <w:vAlign w:val="top"/>
                </w:tcPr>
                <w:p>
                  <w:pPr>
                    <w:spacing w:after="56" w:before="56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C3AED"/>
                      <w:sz w:val="17"/>
                      <w:szCs w:val="17"/>
                    </w:rPr>
                    <w:t xml:space="preserve">Threat Modelling: </w:t>
                  </w:r>
                  <w:r>
                    <w:rPr>
                      <w:rFonts w:ascii="Arial" w:cs="Arial" w:eastAsia="Arial" w:hAnsi="Arial"/>
                      <w:color w:val="1E293B"/>
                      <w:sz w:val="17"/>
                      <w:szCs w:val="17"/>
                    </w:rPr>
                    <w:t xml:space="preserve">STRIDE per feature, updated whenever data flows change</w:t>
                  </w:r>
                </w:p>
              </w:tc>
            </w:tr>
            <w:tr>
              <w:tc>
                <w:tcPr>
                  <w:tcW w:type="dxa" w:w="3690"/>
                  <w:tcBorders>
                    <w:top w:val="none"/>
                    <w:left w:val="single" w:color="7C3AED" w:sz="8"/>
                    <w:bottom w:val="single" w:color="E2E8F0" w:sz="1"/>
                    <w:right w:val="none"/>
                  </w:tcBorders>
                  <w:shd w:fill="EDE9FE" w:val="clear"/>
                  <w:tcMar>
                    <w:top w:type="dxa" w:w="56"/>
                    <w:left w:type="dxa" w:w="180"/>
                    <w:bottom w:type="dxa" w:w="56"/>
                    <w:right w:type="dxa" w:w="80"/>
                  </w:tcMar>
                  <w:vAlign w:val="top"/>
                </w:tcPr>
                <w:p>
                  <w:pPr>
                    <w:spacing w:after="56" w:before="56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C3AED"/>
                      <w:sz w:val="17"/>
                      <w:szCs w:val="17"/>
                    </w:rPr>
                    <w:t xml:space="preserve">Security Regression: </w:t>
                  </w:r>
                  <w:r>
                    <w:rPr>
                      <w:rFonts w:ascii="Arial" w:cs="Arial" w:eastAsia="Arial" w:hAnsi="Arial"/>
                      <w:color w:val="1E293B"/>
                      <w:sz w:val="17"/>
                      <w:szCs w:val="17"/>
                    </w:rPr>
                    <w:t xml:space="preserve">Automated suite re-runs every previously discovered vulnerability</w:t>
                  </w:r>
                </w:p>
              </w:tc>
            </w:tr>
            <w:tr>
              <w:tc>
                <w:tcPr>
                  <w:tcW w:type="dxa" w:w="3690"/>
                  <w:tcBorders>
                    <w:top w:val="none"/>
                    <w:left w:val="single" w:color="7C3AED" w:sz="8"/>
                    <w:bottom w:val="single" w:color="E2E8F0" w:sz="1"/>
                    <w:right w:val="none"/>
                  </w:tcBorders>
                  <w:shd w:fill="FFFFFF" w:val="clear"/>
                  <w:tcMar>
                    <w:top w:type="dxa" w:w="56"/>
                    <w:left w:type="dxa" w:w="180"/>
                    <w:bottom w:type="dxa" w:w="56"/>
                    <w:right w:type="dxa" w:w="80"/>
                  </w:tcMar>
                  <w:vAlign w:val="top"/>
                </w:tcPr>
                <w:p>
                  <w:pPr>
                    <w:spacing w:after="56" w:before="56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C3AED"/>
                      <w:sz w:val="17"/>
                      <w:szCs w:val="17"/>
                    </w:rPr>
                    <w:t xml:space="preserve">Bug Bounty: </w:t>
                  </w:r>
                  <w:r>
                    <w:rPr>
                      <w:rFonts w:ascii="Arial" w:cs="Arial" w:eastAsia="Arial" w:hAnsi="Arial"/>
                      <w:color w:val="1E293B"/>
                      <w:sz w:val="17"/>
                      <w:szCs w:val="17"/>
                    </w:rPr>
                    <w:t xml:space="preserve">HackerOne / Bugcrowd programme for external security researchers</w:t>
                  </w:r>
                </w:p>
              </w:tc>
            </w:tr>
            <w:tr>
              <w:tc>
                <w:tcPr>
                  <w:tcW w:type="dxa" w:w="3690"/>
                  <w:tcBorders>
                    <w:top w:val="none"/>
                    <w:left w:val="single" w:color="7C3AED" w:sz="8"/>
                    <w:bottom w:val="single" w:color="E2E8F0" w:sz="1"/>
                    <w:right w:val="none"/>
                  </w:tcBorders>
                  <w:shd w:fill="EDE9FE" w:val="clear"/>
                  <w:tcMar>
                    <w:top w:type="dxa" w:w="56"/>
                    <w:left w:type="dxa" w:w="180"/>
                    <w:bottom w:type="dxa" w:w="56"/>
                    <w:right w:type="dxa" w:w="80"/>
                  </w:tcMar>
                  <w:vAlign w:val="top"/>
                </w:tcPr>
                <w:p>
                  <w:pPr>
                    <w:spacing w:after="56" w:before="56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C3AED"/>
                      <w:sz w:val="17"/>
                      <w:szCs w:val="17"/>
                    </w:rPr>
                    <w:t xml:space="preserve">Red Team: </w:t>
                  </w:r>
                  <w:r>
                    <w:rPr>
                      <w:rFonts w:ascii="Arial" w:cs="Arial" w:eastAsia="Arial" w:hAnsi="Arial"/>
                      <w:color w:val="1E293B"/>
                      <w:sz w:val="17"/>
                      <w:szCs w:val="17"/>
                    </w:rPr>
                    <w:t xml:space="preserve">Annual adversarial simulation; full kill-chain exercise + debrief</w:t>
                  </w:r>
                </w:p>
              </w:tc>
            </w:tr>
          </w:tbl>
          <w:p/>
        </w:tc>
      </w:tr>
    </w:tbl>
    <w:p>
      <w:pPr>
        <w:spacing w:after="80" w:before="0"/>
      </w:pPr>
      <w:r>
        <w:t xml:space="preserve"/>
      </w:r>
    </w:p>
    <w:tbl>
      <w:tblPr>
        <w:tblW w:type="dxa" w:w="14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27"/>
        <w:gridCol w:w="4133"/>
      </w:tblGrid>
      <w:tr>
        <w:tc>
          <w:tcPr>
            <w:tcW w:type="dxa" w:w="10627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60"/>
              <w:left w:type="dxa" w:w="22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CCFBF1"/>
                <w:sz w:val="19"/>
                <w:szCs w:val="19"/>
              </w:rPr>
              <w:t xml:space="preserve">Shift Left  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·  Automate Everything  ·  Trust, But Verify  ·  Security is Everyone's Responsibility</w:t>
            </w:r>
          </w:p>
        </w:tc>
        <w:tc>
          <w:tcPr>
            <w:tcW w:type="dxa" w:w="4133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220"/>
            </w:tcMar>
            <w:vAlign w:val="center"/>
          </w:tcPr>
          <w:p>
            <w:pPr>
              <w:spacing w:after="60" w:before="60"/>
              <w:jc w:val="right"/>
            </w:pPr>
            <w:r>
              <w:rPr>
                <w:rFonts w:ascii="Arial" w:cs="Arial" w:eastAsia="Arial" w:hAnsi="Arial"/>
                <w:i/>
                <w:iCs/>
                <w:color w:val="64748B"/>
                <w:sz w:val="16"/>
                <w:szCs w:val="16"/>
              </w:rPr>
              <w:t xml:space="preserve">© 2026 Security Team  |  Internal Use Only</w:t>
            </w:r>
          </w:p>
        </w:tc>
      </w:tr>
    </w:tbl>
    <w:sectPr>
      <w:pgSz w:w="15840" w:h="12240" w:orient="landscape"/>
      <w:pgMar w:top="540" w:right="540" w:bottom="540" w:left="5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2026-03-29T12:22:00.894Z</dcterms:created>
  <dcterms:modified xsi:type="dcterms:W3CDTF">2026-03-29T12:22:00.899Z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