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Calibri" w:cs="Calibri" w:eastAsia="Calibri" w:hAnsi="Calibri"/>
          <w:b/>
          <w:bCs/>
          <w:color w:val="1F3864"/>
          <w:sz w:val="48"/>
          <w:szCs w:val="48"/>
        </w:rPr>
        <w:t xml:space="preserve">Colorado School &amp; District</w:t>
      </w:r>
    </w:p>
    <w:p>
      <w:pPr>
        <w:spacing w:after="240" w:before="0"/>
        <w:jc w:val="center"/>
      </w:pPr>
      <w:r>
        <w:rPr>
          <w:rFonts w:ascii="Calibri" w:cs="Calibri" w:eastAsia="Calibri" w:hAnsi="Calibri"/>
          <w:b/>
          <w:bCs/>
          <w:color w:val="1F3864"/>
          <w:sz w:val="48"/>
          <w:szCs w:val="48"/>
        </w:rPr>
        <w:t xml:space="preserve">Accountability Performance Framework</w:t>
      </w:r>
    </w:p>
    <w:p>
      <w:pPr>
        <w:spacing w:after="120" w:before="0"/>
        <w:jc w:val="center"/>
      </w:pPr>
      <w:r>
        <w:rPr>
          <w:rFonts w:ascii="Calibri" w:cs="Calibri" w:eastAsia="Calibri" w:hAnsi="Calibri"/>
          <w:color w:val="6B7280"/>
          <w:sz w:val="28"/>
          <w:szCs w:val="28"/>
        </w:rPr>
        <w:t xml:space="preserve">Methodology &amp; Technical Documentation</w:t>
      </w:r>
    </w:p>
    <w:p>
      <w:pPr>
        <w:spacing w:after="480" w:before="0"/>
        <w:jc w:val="center"/>
      </w:pPr>
      <w:r>
        <w:rPr>
          <w:rFonts w:ascii="Calibri" w:cs="Calibri" w:eastAsia="Calibri" w:hAnsi="Calibri"/>
          <w:color w:val="6B7280"/>
          <w:sz w:val="24"/>
          <w:szCs w:val="24"/>
        </w:rPr>
        <w:t xml:space="preserve">2024 Performance Framework Analysis</w:t>
      </w:r>
    </w:p>
    <w:p>
      <w:pPr>
        <w:pBdr>
          <w:bottom w:val="single" w:color="1F3864" w:sz="6" w:space="1"/>
        </w:pBdr>
        <w:spacing w:after="480" w:before="0"/>
      </w:pPr>
    </w:p>
    <w:p>
      <w:pPr>
        <w:spacing w:after="80" w:before="0"/>
        <w:jc w:val="center"/>
      </w:pPr>
      <w:r>
        <w:rPr>
          <w:rFonts w:ascii="Calibri" w:cs="Calibri" w:eastAsia="Calibri" w:hAnsi="Calibri"/>
          <w:color w:val="374151"/>
          <w:sz w:val="22"/>
          <w:szCs w:val="22"/>
        </w:rPr>
        <w:t xml:space="preserve">Prepared by: Srikanth Chandesure</w:t>
      </w:r>
    </w:p>
    <w:p>
      <w:pPr>
        <w:spacing w:after="80" w:before="0"/>
        <w:jc w:val="center"/>
      </w:pPr>
      <w:r>
        <w:rPr>
          <w:rFonts w:ascii="Calibri" w:cs="Calibri" w:eastAsia="Calibri" w:hAnsi="Calibri"/>
          <w:color w:val="374151"/>
          <w:sz w:val="22"/>
          <w:szCs w:val="22"/>
        </w:rPr>
        <w:t xml:space="preserve">M.S. Business Analytics | University of Colorado Denver</w:t>
      </w:r>
    </w:p>
    <w:p>
      <w:pPr>
        <w:spacing w:after="80" w:before="0"/>
        <w:jc w:val="center"/>
      </w:pPr>
      <w:r>
        <w:rPr>
          <w:rFonts w:ascii="Calibri" w:cs="Calibri" w:eastAsia="Calibri" w:hAnsi="Calibri"/>
          <w:color w:val="374151"/>
          <w:sz w:val="22"/>
          <w:szCs w:val="22"/>
        </w:rPr>
        <w:t xml:space="preserve">April 2025</w:t>
      </w:r>
    </w:p>
    <w:p>
      <w:pPr>
        <w:spacing w:after="0" w:before="240"/>
        <w:jc w:val="center"/>
      </w:pPr>
      <w:r>
        <w:rPr>
          <w:rFonts w:ascii="Calibri" w:cs="Calibri" w:eastAsia="Calibri" w:hAnsi="Calibri"/>
          <w:i/>
          <w:iCs/>
          <w:color w:val="9CA3AF"/>
          <w:sz w:val="20"/>
          <w:szCs w:val="20"/>
        </w:rPr>
        <w:t xml:space="preserve">Data Source: Colorado Department of Education — Published Performance Framework Files</w:t>
      </w:r>
    </w:p>
    <w:p>
      <w:pPr>
        <w:spacing w:after="80" w:before="80"/>
      </w:pPr>
      <w:r>
        <w:t xml:space="preserve"/>
      </w:r>
    </w:p>
    <w:p>
      <w:pPr>
        <w:spacing w:after="80" w:before="80"/>
      </w:pPr>
      <w:r>
        <w:t xml:space="preserve"/>
      </w:r>
    </w:p>
    <w:p>
      <w:pPr>
        <w:pBdr>
          <w:bottom w:val="single" w:color="1F3864" w:sz="6" w:space="4"/>
        </w:pBdr>
        <w:spacing w:after="120" w:before="400"/>
      </w:pPr>
      <w:r>
        <w:rPr>
          <w:rFonts w:ascii="Calibri" w:cs="Calibri" w:eastAsia="Calibri" w:hAnsi="Calibri"/>
          <w:b/>
          <w:bCs/>
          <w:color w:val="1F3864"/>
          <w:sz w:val="28"/>
          <w:szCs w:val="28"/>
        </w:rPr>
        <w:t xml:space="preserve">1. Purpose and Scope</w:t>
      </w:r>
    </w:p>
    <w:p>
      <w:pPr>
        <w:spacing w:after="60" w:before="60"/>
        <w:jc w:val="both"/>
      </w:pPr>
      <w:r>
        <w:rPr>
          <w:rFonts w:ascii="Calibri" w:cs="Calibri" w:eastAsia="Calibri" w:hAnsi="Calibri"/>
          <w:sz w:val="20"/>
          <w:szCs w:val="20"/>
        </w:rPr>
        <w:t xml:space="preserve">This document describes the methodology, data sources, calculation logic, and assumptions underlying the Colorado School and District Accountability Performance Framework simulation. The analysis replicates the Colorado Department of Education's (CDE) published accountability framework using publicly available Performance Framework flat files, with the goal of enabling reproducible, transparent analysis of school and district performance trends across Colorado.</w:t>
      </w:r>
    </w:p>
    <w:p>
      <w:pPr>
        <w:spacing w:after="80" w:before="80"/>
      </w:pPr>
      <w:r>
        <w:t xml:space="preserve"/>
      </w:r>
    </w:p>
    <w:p>
      <w:pPr>
        <w:spacing w:after="60" w:before="60"/>
        <w:jc w:val="both"/>
      </w:pPr>
      <w:r>
        <w:rPr>
          <w:rFonts w:ascii="Calibri" w:cs="Calibri" w:eastAsia="Calibri" w:hAnsi="Calibri"/>
          <w:sz w:val="20"/>
          <w:szCs w:val="20"/>
        </w:rPr>
        <w:t xml:space="preserve">The project covers all 1,841 schools and 185 districts in Colorado for the 2024 performance framework cycle, with longitudinal data spanning 2019 through 2024. Key analytical outputs include composite performance scoring, performance tier assignment, year-over-year anomaly detection, and subgroup equity gap analysis.</w:t>
      </w:r>
    </w:p>
    <w:p>
      <w:pPr>
        <w:spacing w:after="80" w:before="80"/>
      </w:pPr>
      <w:r>
        <w:t xml:space="preserve"/>
      </w:r>
    </w:p>
    <w:p>
      <w:pPr>
        <w:pBdr>
          <w:bottom w:val="single" w:color="1F3864" w:sz="6" w:space="4"/>
        </w:pBdr>
        <w:spacing w:after="120" w:before="400"/>
      </w:pPr>
      <w:r>
        <w:rPr>
          <w:rFonts w:ascii="Calibri" w:cs="Calibri" w:eastAsia="Calibri" w:hAnsi="Calibri"/>
          <w:b/>
          <w:bCs/>
          <w:color w:val="1F3864"/>
          <w:sz w:val="28"/>
          <w:szCs w:val="28"/>
        </w:rPr>
        <w:t xml:space="preserve">2. Data Sources</w:t>
      </w:r>
    </w:p>
    <w:p>
      <w:pPr>
        <w:spacing w:after="80" w:before="320"/>
      </w:pPr>
      <w:r>
        <w:rPr>
          <w:rFonts w:ascii="Calibri" w:cs="Calibri" w:eastAsia="Calibri" w:hAnsi="Calibri"/>
          <w:b/>
          <w:bCs/>
          <w:color w:val="2E4057"/>
          <w:sz w:val="24"/>
          <w:szCs w:val="24"/>
        </w:rPr>
        <w:t xml:space="preserve">2.1 Primary Data Files</w:t>
      </w:r>
    </w:p>
    <w:p>
      <w:pPr>
        <w:spacing w:after="60" w:before="60"/>
        <w:jc w:val="both"/>
      </w:pPr>
      <w:r>
        <w:rPr>
          <w:rFonts w:ascii="Calibri" w:cs="Calibri" w:eastAsia="Calibri" w:hAnsi="Calibri"/>
          <w:sz w:val="20"/>
          <w:szCs w:val="20"/>
        </w:rPr>
        <w:t xml:space="preserve">All data used in this analysis is sourced directly from CDE's publicly available accountability data repository at ed.cde.state.co.us/accountability/data-files. No proprietary or non-public data was used.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Calibri" w:cs="Calibri" w:eastAsia="Calibri" w:hAnsi="Calibri"/>
                <w:b/>
                <w:bCs/>
                <w:color w:val="FFFFFF"/>
                <w:sz w:val="18"/>
                <w:szCs w:val="18"/>
              </w:rPr>
              <w:t xml:space="preserve">File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Calibri" w:cs="Calibri" w:eastAsia="Calibri" w:hAnsi="Calibri"/>
                <w:b/>
                <w:bCs/>
                <w:color w:val="FFFFFF"/>
                <w:sz w:val="18"/>
                <w:szCs w:val="18"/>
              </w:rPr>
              <w:t xml:space="preserve">Contents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Calibri" w:cs="Calibri" w:eastAsia="Calibri" w:hAnsi="Calibri"/>
                <w:b/>
                <w:bCs/>
                <w:color w:val="FFFFFF"/>
                <w:sz w:val="18"/>
                <w:szCs w:val="18"/>
              </w:rPr>
              <w:t xml:space="preserve">Date Published</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2024 DPF/SPF Final Public Data 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Indicator detail: achievement, growth, graduation, participation by school, district, and subgroup</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December 11, 2024</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SPF 2024 Final Ratings Over 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School-level performance ratings 2019–2024 with percent points earned</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December 11, 2024</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DPF 2024 Final Ratings Over 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District-level accreditation ratings 2009–2024</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December 11, 2024</w:t>
            </w:r>
          </w:p>
        </w:tc>
      </w:tr>
    </w:tbl>
    <w:p>
      <w:pPr>
        <w:spacing w:after="80" w:before="80"/>
      </w:pPr>
      <w:r>
        <w:t xml:space="preserve"/>
      </w:r>
    </w:p>
    <w:p>
      <w:pPr>
        <w:spacing w:after="80" w:before="320"/>
      </w:pPr>
      <w:r>
        <w:rPr>
          <w:rFonts w:ascii="Calibri" w:cs="Calibri" w:eastAsia="Calibri" w:hAnsi="Calibri"/>
          <w:b/>
          <w:bCs/>
          <w:color w:val="2E4057"/>
          <w:sz w:val="24"/>
          <w:szCs w:val="24"/>
        </w:rPr>
        <w:t xml:space="preserve">2.2 Data Volume</w:t>
      </w:r>
    </w:p>
    <w:p>
      <w:pPr>
        <w:pStyle w:val="ListParagraph"/>
        <w:numPr>
          <w:ilvl w:val="0"/>
          <w:numId w:val="2"/>
        </w:numPr>
        <w:spacing w:after="40" w:before="40"/>
      </w:pPr>
      <w:r>
        <w:rPr>
          <w:rFonts w:ascii="Calibri" w:cs="Calibri" w:eastAsia="Calibri" w:hAnsi="Calibri"/>
          <w:sz w:val="20"/>
          <w:szCs w:val="20"/>
        </w:rPr>
        <w:t xml:space="preserve">Raw indicator detail rows processed: 171,320</w:t>
      </w:r>
    </w:p>
    <w:p>
      <w:pPr>
        <w:pStyle w:val="ListParagraph"/>
        <w:numPr>
          <w:ilvl w:val="0"/>
          <w:numId w:val="2"/>
        </w:numPr>
        <w:spacing w:after="40" w:before="40"/>
      </w:pPr>
      <w:r>
        <w:rPr>
          <w:rFonts w:ascii="Calibri" w:cs="Calibri" w:eastAsia="Calibri" w:hAnsi="Calibri"/>
          <w:sz w:val="20"/>
          <w:szCs w:val="20"/>
        </w:rPr>
        <w:t xml:space="preserve">Schools loaded: 1,841 across 185 districts</w:t>
      </w:r>
    </w:p>
    <w:p>
      <w:pPr>
        <w:pStyle w:val="ListParagraph"/>
        <w:numPr>
          <w:ilvl w:val="0"/>
          <w:numId w:val="2"/>
        </w:numPr>
        <w:spacing w:after="40" w:before="40"/>
      </w:pPr>
      <w:r>
        <w:rPr>
          <w:rFonts w:ascii="Calibri" w:cs="Calibri" w:eastAsia="Calibri" w:hAnsi="Calibri"/>
          <w:sz w:val="20"/>
          <w:szCs w:val="20"/>
        </w:rPr>
        <w:t xml:space="preserve">Longitudinal rating records: 13,561 (2019–2024 school-level)</w:t>
      </w:r>
    </w:p>
    <w:p>
      <w:pPr>
        <w:pStyle w:val="ListParagraph"/>
        <w:numPr>
          <w:ilvl w:val="0"/>
          <w:numId w:val="2"/>
        </w:numPr>
        <w:spacing w:after="40" w:before="40"/>
      </w:pPr>
      <w:r>
        <w:rPr>
          <w:rFonts w:ascii="Calibri" w:cs="Calibri" w:eastAsia="Calibri" w:hAnsi="Calibri"/>
          <w:sz w:val="20"/>
          <w:szCs w:val="20"/>
        </w:rPr>
        <w:t xml:space="preserve">Subgroup equity records: 18,410 (FRL, ELL, IEP, Minority, All Students)</w:t>
      </w:r>
    </w:p>
    <w:p>
      <w:pPr>
        <w:pStyle w:val="ListParagraph"/>
        <w:numPr>
          <w:ilvl w:val="0"/>
          <w:numId w:val="2"/>
        </w:numPr>
        <w:spacing w:after="40" w:before="40"/>
      </w:pPr>
      <w:r>
        <w:rPr>
          <w:rFonts w:ascii="Calibri" w:cs="Calibri" w:eastAsia="Calibri" w:hAnsi="Calibri"/>
          <w:sz w:val="20"/>
          <w:szCs w:val="20"/>
        </w:rPr>
        <w:t xml:space="preserve">Anomaly records generated: 3,653 (YOY change calculations, 2022–2024)</w:t>
      </w:r>
    </w:p>
    <w:p>
      <w:pPr>
        <w:spacing w:after="80" w:before="80"/>
      </w:pPr>
      <w:r>
        <w:t xml:space="preserve"/>
      </w:r>
    </w:p>
    <w:p>
      <w:pPr>
        <w:pBdr>
          <w:bottom w:val="single" w:color="1F3864" w:sz="6" w:space="4"/>
        </w:pBdr>
        <w:spacing w:after="120" w:before="400"/>
      </w:pPr>
      <w:r>
        <w:rPr>
          <w:rFonts w:ascii="Calibri" w:cs="Calibri" w:eastAsia="Calibri" w:hAnsi="Calibri"/>
          <w:b/>
          <w:bCs/>
          <w:color w:val="1F3864"/>
          <w:sz w:val="28"/>
          <w:szCs w:val="28"/>
        </w:rPr>
        <w:t xml:space="preserve">3. Database Architecture</w:t>
      </w:r>
    </w:p>
    <w:p>
      <w:pPr>
        <w:spacing w:after="80" w:before="320"/>
      </w:pPr>
      <w:r>
        <w:rPr>
          <w:rFonts w:ascii="Calibri" w:cs="Calibri" w:eastAsia="Calibri" w:hAnsi="Calibri"/>
          <w:b/>
          <w:bCs/>
          <w:color w:val="2E4057"/>
          <w:sz w:val="24"/>
          <w:szCs w:val="24"/>
        </w:rPr>
        <w:t xml:space="preserve">3.1 Schema Design</w:t>
      </w:r>
    </w:p>
    <w:p>
      <w:pPr>
        <w:spacing w:after="60" w:before="60"/>
        <w:jc w:val="both"/>
      </w:pPr>
      <w:r>
        <w:rPr>
          <w:rFonts w:ascii="Calibri" w:cs="Calibri" w:eastAsia="Calibri" w:hAnsi="Calibri"/>
          <w:sz w:val="20"/>
          <w:szCs w:val="20"/>
        </w:rPr>
        <w:t xml:space="preserve">Data is stored in a normalized SQLite relational database with a star schema design. Dimension tables hold entity attributes; fact tables hold annual performance metrics. This structure supports efficient filtering, aggregation, and year-over-year comparisons used in the Power BI dashboard.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Calibri" w:cs="Calibri" w:eastAsia="Calibri" w:hAnsi="Calibri"/>
                <w:b/>
                <w:bCs/>
                <w:color w:val="FFFFFF"/>
                <w:sz w:val="18"/>
                <w:szCs w:val="18"/>
              </w:rPr>
              <w:t xml:space="preserve">Table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Calibri" w:cs="Calibri" w:eastAsia="Calibri" w:hAnsi="Calibri"/>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Calibri" w:cs="Calibri" w:eastAsia="Calibri" w:hAnsi="Calibri"/>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dim_district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Dimension</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184 Colorado districts — code, name, setting, region</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dim_school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Dimension</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1,841 schools — code, name, district, EMH type, charter/AEC flags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fact_performance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Fact</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Annual school-level indicator scores: achievement (ACH), growth (MGP), graduation, postsecondary readiness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fact_district_performance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Fact</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Annual district-level aggregated scores and demographic composition</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fact_subgroup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Fact</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Achievement and growth scores by subgroup (FRL, ELL, IEP, Minority, All Students)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fact_ratings_over_time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Fact</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School and district final ratings 2019–2024 with percent points earned</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fact_anomaly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Fact</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Year-over-year change calculations with z-scores and anomaly flags</w:t>
            </w:r>
          </w:p>
        </w:tc>
      </w:tr>
    </w:tbl>
    <w:p>
      <w:pPr>
        <w:spacing w:after="80" w:before="80"/>
      </w:pPr>
      <w:r>
        <w:t xml:space="preserve"/>
      </w:r>
    </w:p>
    <w:p>
      <w:pPr>
        <w:pBdr>
          <w:bottom w:val="single" w:color="1F3864" w:sz="6" w:space="4"/>
        </w:pBdr>
        <w:spacing w:after="120" w:before="400"/>
      </w:pPr>
      <w:r>
        <w:rPr>
          <w:rFonts w:ascii="Calibri" w:cs="Calibri" w:eastAsia="Calibri" w:hAnsi="Calibri"/>
          <w:b/>
          <w:bCs/>
          <w:color w:val="1F3864"/>
          <w:sz w:val="28"/>
          <w:szCs w:val="28"/>
        </w:rPr>
        <w:t xml:space="preserve">4. Indicator Definitions and Calculation Methodology</w:t>
      </w:r>
    </w:p>
    <w:p>
      <w:pPr>
        <w:spacing w:after="80" w:before="320"/>
      </w:pPr>
      <w:r>
        <w:rPr>
          <w:rFonts w:ascii="Calibri" w:cs="Calibri" w:eastAsia="Calibri" w:hAnsi="Calibri"/>
          <w:b/>
          <w:bCs/>
          <w:color w:val="2E4057"/>
          <w:sz w:val="24"/>
          <w:szCs w:val="24"/>
        </w:rPr>
        <w:t xml:space="preserve">4.1 Overview</w:t>
      </w:r>
    </w:p>
    <w:p>
      <w:pPr>
        <w:spacing w:after="60" w:before="60"/>
        <w:jc w:val="both"/>
      </w:pPr>
      <w:r>
        <w:rPr>
          <w:rFonts w:ascii="Calibri" w:cs="Calibri" w:eastAsia="Calibri" w:hAnsi="Calibri"/>
          <w:sz w:val="20"/>
          <w:szCs w:val="20"/>
        </w:rPr>
        <w:t xml:space="preserve">CDE's Performance Framework evaluates schools and districts on multiple performance indicators. Each indicator earns points based on performance thresholds. The composite score is calculated as the percentage of weighted points earned out of total weighted points eligible.</w:t>
      </w:r>
    </w:p>
    <w:p>
      <w:pPr>
        <w:spacing w:after="80" w:before="80"/>
      </w:pPr>
      <w:r>
        <w:t xml:space="preserve"/>
      </w:r>
    </w:p>
    <w:p>
      <w:pPr>
        <w:spacing w:after="60" w:before="60"/>
        <w:jc w:val="both"/>
      </w:pPr>
      <w:r>
        <w:rPr>
          <w:rFonts w:ascii="Calibri" w:cs="Calibri" w:eastAsia="Calibri" w:hAnsi="Calibri"/>
          <w:sz w:val="20"/>
          <w:szCs w:val="20"/>
        </w:rPr>
        <w:t xml:space="preserve">This analysis uses CDE's published percent of points earned (weighted) as the composite score, directly from the DPF/SPF Final Public Data File. No independent reweighting was performed — the published CDE scores are used as ground truth.</w:t>
      </w:r>
    </w:p>
    <w:p>
      <w:pPr>
        <w:spacing w:after="80" w:before="80"/>
      </w:pPr>
      <w:r>
        <w:t xml:space="preserve"/>
      </w:r>
    </w:p>
    <w:p>
      <w:pPr>
        <w:spacing w:after="80" w:before="320"/>
      </w:pPr>
      <w:r>
        <w:rPr>
          <w:rFonts w:ascii="Calibri" w:cs="Calibri" w:eastAsia="Calibri" w:hAnsi="Calibri"/>
          <w:b/>
          <w:bCs/>
          <w:color w:val="2E4057"/>
          <w:sz w:val="24"/>
          <w:szCs w:val="24"/>
        </w:rPr>
        <w:t xml:space="preserve">4.2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800"/>
        <w:gridCol w:w="32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Calibri" w:cs="Calibri" w:eastAsia="Calibri" w:hAnsi="Calibri"/>
                <w:b/>
                <w:bCs/>
                <w:color w:val="FFFFFF"/>
                <w:sz w:val="18"/>
                <w:szCs w:val="18"/>
              </w:rPr>
              <w:t xml:space="preserve">Indicator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Calibri" w:cs="Calibri" w:eastAsia="Calibri" w:hAnsi="Calibri"/>
                <w:b/>
                <w:bCs/>
                <w:color w:val="FFFFFF"/>
                <w:sz w:val="18"/>
                <w:szCs w:val="18"/>
              </w:rPr>
              <w:t xml:space="preserve">Description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Calibri" w:cs="Calibri" w:eastAsia="Calibri" w:hAnsi="Calibri"/>
                <w:b/>
                <w:bCs/>
                <w:color w:val="FFFFFF"/>
                <w:sz w:val="18"/>
                <w:szCs w:val="18"/>
              </w:rPr>
              <w:t xml:space="preserve">CDE Code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Calibri" w:cs="Calibri" w:eastAsia="Calibri" w:hAnsi="Calibri"/>
                <w:b/>
                <w:bCs/>
                <w:color w:val="FFFFFF"/>
                <w:sz w:val="18"/>
                <w:szCs w:val="18"/>
              </w:rPr>
              <w:t xml:space="preserve">Key Metric Used</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Achievement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CMAS proficiency — percent of eligible points earned by students scoring at/above grade level</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ACH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ACH_PERCENTILE, PCT_PTS_EARN</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Growth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Median Student Growth Percentile (MGP) — how much students grew relative to academic peers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GRO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GRO_MEDIAN_SGP</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Postsecondary &amp; Workforce Readiness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Graduation rates (4-yr, 5-yr, 6-yr, 7-yr cohort) and postsecondary enrollment/CTE/military</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PWR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PWR_GRAD_RATE_4YR, PWR_RATE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Participation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Assessment participation rate — schools must meet 95% threshold</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PART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PART_PCT_TTL</w:t>
            </w:r>
          </w:p>
        </w:tc>
      </w:tr>
    </w:tbl>
    <w:p>
      <w:pPr>
        <w:spacing w:after="80" w:before="80"/>
      </w:pPr>
      <w:r>
        <w:t xml:space="preserve"/>
      </w:r>
    </w:p>
    <w:p>
      <w:pPr>
        <w:spacing w:after="80" w:before="320"/>
      </w:pPr>
      <w:r>
        <w:rPr>
          <w:rFonts w:ascii="Calibri" w:cs="Calibri" w:eastAsia="Calibri" w:hAnsi="Calibri"/>
          <w:b/>
          <w:bCs/>
          <w:color w:val="2E4057"/>
          <w:sz w:val="24"/>
          <w:szCs w:val="24"/>
        </w:rPr>
        <w:t xml:space="preserve">4.3 Composite Score Calculation</w:t>
      </w:r>
    </w:p>
    <w:p>
      <w:pPr>
        <w:spacing w:after="60" w:before="60"/>
        <w:jc w:val="both"/>
      </w:pPr>
      <w:r>
        <w:rPr>
          <w:rFonts w:ascii="Calibri" w:cs="Calibri" w:eastAsia="Calibri" w:hAnsi="Calibri"/>
          <w:sz w:val="20"/>
          <w:szCs w:val="20"/>
        </w:rPr>
        <w:t xml:space="preserve">The composite performance score for each school is the CDE-published percent of weighted points earned, calculated as:</w:t>
      </w:r>
    </w:p>
    <w:p>
      <w:pPr>
        <w:spacing w:after="80" w:before="80"/>
      </w:pPr>
      <w:r>
        <w:t xml:space="preserve"/>
      </w:r>
    </w:p>
    <w:p>
      <w:pPr>
        <w:spacing w:after="120" w:before="120"/>
        <w:jc w:val="center"/>
      </w:pPr>
      <w:r>
        <w:rPr>
          <w:rFonts w:ascii="Courier New" w:cs="Courier New" w:eastAsia="Courier New" w:hAnsi="Courier New"/>
          <w:b/>
          <w:bCs/>
          <w:color w:val="1F3864"/>
          <w:sz w:val="20"/>
          <w:szCs w:val="20"/>
        </w:rPr>
        <w:t xml:space="preserve">Composite Score = (Sum of Weighted Points Earned) ÷ (Sum of Weighted Points Eligible) × 100</w:t>
      </w:r>
    </w:p>
    <w:p>
      <w:pPr>
        <w:spacing w:after="80" w:before="80"/>
      </w:pPr>
      <w:r>
        <w:t xml:space="preserve"/>
      </w:r>
    </w:p>
    <w:p>
      <w:pPr>
        <w:spacing w:after="60" w:before="60"/>
        <w:jc w:val="both"/>
      </w:pPr>
      <w:r>
        <w:rPr>
          <w:rFonts w:ascii="Calibri" w:cs="Calibri" w:eastAsia="Calibri" w:hAnsi="Calibri"/>
          <w:sz w:val="20"/>
          <w:szCs w:val="20"/>
        </w:rPr>
        <w:t xml:space="preserve">Points eligible and points earned are determined by CDE based on indicator-level thresholds (Does Not Meet, Approaching, Meets, Exceeds). Each threshold corresponds to a specific point value. Weights are applied at the indicator level and vary by school level (Elementary/Middle/High) and available data.</w:t>
      </w:r>
    </w:p>
    <w:p>
      <w:pPr>
        <w:spacing w:after="80" w:before="80"/>
      </w:pPr>
      <w:r>
        <w:t xml:space="preserve"/>
      </w:r>
    </w:p>
    <w:p>
      <w:pPr>
        <w:spacing w:after="80" w:before="320"/>
      </w:pPr>
      <w:r>
        <w:rPr>
          <w:rFonts w:ascii="Calibri" w:cs="Calibri" w:eastAsia="Calibri" w:hAnsi="Calibri"/>
          <w:b/>
          <w:bCs/>
          <w:color w:val="2E4057"/>
          <w:sz w:val="24"/>
          <w:szCs w:val="24"/>
        </w:rPr>
        <w:t xml:space="preserve">4.4 Performance Tier Assignment</w:t>
      </w:r>
    </w:p>
    <w:p>
      <w:pPr>
        <w:spacing w:after="60" w:before="60"/>
        <w:jc w:val="both"/>
      </w:pPr>
      <w:r>
        <w:rPr>
          <w:rFonts w:ascii="Calibri" w:cs="Calibri" w:eastAsia="Calibri" w:hAnsi="Calibri"/>
          <w:sz w:val="20"/>
          <w:szCs w:val="20"/>
        </w:rPr>
        <w:t xml:space="preserve">Performance tiers are assigned based on the composite percent of weighted points earned. The following tier definitions are derived from CDE's published final ratings: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Calibri" w:cs="Calibri" w:eastAsia="Calibri" w:hAnsi="Calibri"/>
                <w:b/>
                <w:bCs/>
                <w:color w:val="FFFFFF"/>
                <w:sz w:val="18"/>
                <w:szCs w:val="18"/>
              </w:rPr>
              <w:t xml:space="preserve">Performance Tier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Calibri" w:cs="Calibri" w:eastAsia="Calibri" w:hAnsi="Calibri"/>
                <w:b/>
                <w:bCs/>
                <w:color w:val="FFFFFF"/>
                <w:sz w:val="18"/>
                <w:szCs w:val="18"/>
              </w:rPr>
              <w:t xml:space="preserve">CDE Rating Label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Calibri" w:cs="Calibri" w:eastAsia="Calibri" w:hAnsi="Calibri"/>
                <w:b/>
                <w:bCs/>
                <w:color w:val="FFFFFF"/>
                <w:sz w:val="18"/>
                <w:szCs w:val="18"/>
              </w:rPr>
              <w:t xml:space="preserve">Accountability Clock</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Performance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Performance Plan / Accredited</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No clock started</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Improvement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Improvement Plan / Accredited with Improvement Plan</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Year 1–2 on clock</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Priority Improvement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Priority Improvement Plan</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Year 3–4 on clock</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Turnaround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Turnaround Plan</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Year 5+ on clock</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Insufficient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Insufficient State Data</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Not rated — n-size or participation issues</w:t>
            </w:r>
          </w:p>
        </w:tc>
      </w:tr>
    </w:tbl>
    <w:p>
      <w:pPr>
        <w:spacing w:after="80" w:before="80"/>
      </w:pPr>
      <w:r>
        <w:t xml:space="preserve"/>
      </w:r>
    </w:p>
    <w:p>
      <w:pPr>
        <w:pBdr>
          <w:bottom w:val="single" w:color="1F3864" w:sz="6" w:space="4"/>
        </w:pBdr>
        <w:spacing w:after="120" w:before="400"/>
      </w:pPr>
      <w:r>
        <w:rPr>
          <w:rFonts w:ascii="Calibri" w:cs="Calibri" w:eastAsia="Calibri" w:hAnsi="Calibri"/>
          <w:b/>
          <w:bCs/>
          <w:color w:val="1F3864"/>
          <w:sz w:val="28"/>
          <w:szCs w:val="28"/>
        </w:rPr>
        <w:t xml:space="preserve">5. Anomaly Detection Methodology</w:t>
      </w:r>
    </w:p>
    <w:p>
      <w:pPr>
        <w:spacing w:after="80" w:before="320"/>
      </w:pPr>
      <w:r>
        <w:rPr>
          <w:rFonts w:ascii="Calibri" w:cs="Calibri" w:eastAsia="Calibri" w:hAnsi="Calibri"/>
          <w:b/>
          <w:bCs/>
          <w:color w:val="2E4057"/>
          <w:sz w:val="24"/>
          <w:szCs w:val="24"/>
        </w:rPr>
        <w:t xml:space="preserve">5.1 Approach</w:t>
      </w:r>
    </w:p>
    <w:p>
      <w:pPr>
        <w:spacing w:after="60" w:before="60"/>
        <w:jc w:val="both"/>
      </w:pPr>
      <w:r>
        <w:rPr>
          <w:rFonts w:ascii="Calibri" w:cs="Calibri" w:eastAsia="Calibri" w:hAnsi="Calibri"/>
          <w:sz w:val="20"/>
          <w:szCs w:val="20"/>
        </w:rPr>
        <w:t xml:space="preserve">Year-over-year anomalies are detected using a z-score method applied to the distribution of annual score changes within each academic year cohort. This approach identifies schools whose performance changed significantly relative to the statewide distribution of changes — flagging both unusually large improvements (spikes) and declines (drops).</w:t>
      </w:r>
    </w:p>
    <w:p>
      <w:pPr>
        <w:spacing w:after="80" w:before="80"/>
      </w:pPr>
      <w:r>
        <w:t xml:space="preserve"/>
      </w:r>
    </w:p>
    <w:p>
      <w:pPr>
        <w:spacing w:after="80" w:before="320"/>
      </w:pPr>
      <w:r>
        <w:rPr>
          <w:rFonts w:ascii="Calibri" w:cs="Calibri" w:eastAsia="Calibri" w:hAnsi="Calibri"/>
          <w:b/>
          <w:bCs/>
          <w:color w:val="2E4057"/>
          <w:sz w:val="24"/>
          <w:szCs w:val="24"/>
        </w:rPr>
        <w:t xml:space="preserve">5.2 Calculation Steps</w:t>
      </w:r>
    </w:p>
    <w:p>
      <w:pPr>
        <w:pStyle w:val="ListParagraph"/>
        <w:numPr>
          <w:ilvl w:val="0"/>
          <w:numId w:val="2"/>
        </w:numPr>
        <w:spacing w:after="40" w:before="40"/>
      </w:pPr>
      <w:r>
        <w:rPr>
          <w:rFonts w:ascii="Calibri" w:cs="Calibri" w:eastAsia="Calibri" w:hAnsi="Calibri"/>
          <w:sz w:val="20"/>
          <w:szCs w:val="20"/>
        </w:rPr>
        <w:t xml:space="preserve">Step 1: Calculate year-over-year change in percent of points earned for each school with data in consecutive years</w:t>
      </w:r>
    </w:p>
    <w:p>
      <w:pPr>
        <w:pStyle w:val="ListParagraph"/>
        <w:numPr>
          <w:ilvl w:val="0"/>
          <w:numId w:val="2"/>
        </w:numPr>
        <w:spacing w:after="40" w:before="40"/>
      </w:pPr>
      <w:r>
        <w:rPr>
          <w:rFonts w:ascii="Calibri" w:cs="Calibri" w:eastAsia="Calibri" w:hAnsi="Calibri"/>
          <w:sz w:val="20"/>
          <w:szCs w:val="20"/>
        </w:rPr>
        <w:t xml:space="preserve">Step 2: For each academic year, compute the mean and standard deviation of YOY changes across all schools</w:t>
      </w:r>
    </w:p>
    <w:p>
      <w:pPr>
        <w:pStyle w:val="ListParagraph"/>
        <w:numPr>
          <w:ilvl w:val="0"/>
          <w:numId w:val="2"/>
        </w:numPr>
        <w:spacing w:after="40" w:before="40"/>
      </w:pPr>
      <w:r>
        <w:rPr>
          <w:rFonts w:ascii="Calibri" w:cs="Calibri" w:eastAsia="Calibri" w:hAnsi="Calibri"/>
          <w:sz w:val="20"/>
          <w:szCs w:val="20"/>
        </w:rPr>
        <w:t xml:space="preserve">Step 3: Calculate the z-score for each school's YOY change: z = (school_change − mean_change) ÷ std_change</w:t>
      </w:r>
    </w:p>
    <w:p>
      <w:pPr>
        <w:pStyle w:val="ListParagraph"/>
        <w:numPr>
          <w:ilvl w:val="0"/>
          <w:numId w:val="2"/>
        </w:numPr>
        <w:spacing w:after="40" w:before="40"/>
      </w:pPr>
      <w:r>
        <w:rPr>
          <w:rFonts w:ascii="Calibri" w:cs="Calibri" w:eastAsia="Calibri" w:hAnsi="Calibri"/>
          <w:sz w:val="20"/>
          <w:szCs w:val="20"/>
        </w:rPr>
        <w:t xml:space="preserve">Step 4: Flag schools with |z-score| ≥ 2.0 as anomalies (approximately top/bottom 5% of changers)</w:t>
      </w:r>
    </w:p>
    <w:p>
      <w:pPr>
        <w:pStyle w:val="ListParagraph"/>
        <w:numPr>
          <w:ilvl w:val="0"/>
          <w:numId w:val="2"/>
        </w:numPr>
        <w:spacing w:after="40" w:before="40"/>
      </w:pPr>
      <w:r>
        <w:rPr>
          <w:rFonts w:ascii="Calibri" w:cs="Calibri" w:eastAsia="Calibri" w:hAnsi="Calibri"/>
          <w:sz w:val="20"/>
          <w:szCs w:val="20"/>
        </w:rPr>
        <w:t xml:space="preserve">Step 5: Classify direction: z &gt; 0 = 'spike' (large improvement), z &lt; 0 = 'drop' (large decline)</w:t>
      </w:r>
    </w:p>
    <w:p>
      <w:pPr>
        <w:spacing w:after="80" w:before="80"/>
      </w:pPr>
      <w:r>
        <w:t xml:space="preserve"/>
      </w:r>
    </w:p>
    <w:p>
      <w:pPr>
        <w:spacing w:after="80" w:before="320"/>
      </w:pPr>
      <w:r>
        <w:rPr>
          <w:rFonts w:ascii="Calibri" w:cs="Calibri" w:eastAsia="Calibri" w:hAnsi="Calibri"/>
          <w:b/>
          <w:bCs/>
          <w:color w:val="2E4057"/>
          <w:sz w:val="24"/>
          <w:szCs w:val="24"/>
        </w:rPr>
        <w:t xml:space="preserve">5.3 Results Summary (2022–2024)</w:t>
      </w:r>
    </w:p>
    <w:p>
      <w:pPr>
        <w:pStyle w:val="ListParagraph"/>
        <w:numPr>
          <w:ilvl w:val="0"/>
          <w:numId w:val="2"/>
        </w:numPr>
        <w:spacing w:after="40" w:before="40"/>
      </w:pPr>
      <w:r>
        <w:rPr>
          <w:rFonts w:ascii="Calibri" w:cs="Calibri" w:eastAsia="Calibri" w:hAnsi="Calibri"/>
          <w:sz w:val="20"/>
          <w:szCs w:val="20"/>
        </w:rPr>
        <w:t xml:space="preserve">Total anomalies flagged across 2022, 2023, and 2024: 214</w:t>
      </w:r>
    </w:p>
    <w:p>
      <w:pPr>
        <w:pStyle w:val="ListParagraph"/>
        <w:numPr>
          <w:ilvl w:val="0"/>
          <w:numId w:val="2"/>
        </w:numPr>
        <w:spacing w:after="40" w:before="40"/>
      </w:pPr>
      <w:r>
        <w:rPr>
          <w:rFonts w:ascii="Calibri" w:cs="Calibri" w:eastAsia="Calibri" w:hAnsi="Calibri"/>
          <w:sz w:val="20"/>
          <w:szCs w:val="20"/>
        </w:rPr>
        <w:t xml:space="preserve">Spikes (unusually large improvements): 194</w:t>
      </w:r>
    </w:p>
    <w:p>
      <w:pPr>
        <w:pStyle w:val="ListParagraph"/>
        <w:numPr>
          <w:ilvl w:val="0"/>
          <w:numId w:val="2"/>
        </w:numPr>
        <w:spacing w:after="40" w:before="40"/>
      </w:pPr>
      <w:r>
        <w:rPr>
          <w:rFonts w:ascii="Calibri" w:cs="Calibri" w:eastAsia="Calibri" w:hAnsi="Calibri"/>
          <w:sz w:val="20"/>
          <w:szCs w:val="20"/>
        </w:rPr>
        <w:t xml:space="preserve">Drops (unusually large declines): 20</w:t>
      </w:r>
    </w:p>
    <w:p>
      <w:pPr>
        <w:pStyle w:val="ListParagraph"/>
        <w:numPr>
          <w:ilvl w:val="0"/>
          <w:numId w:val="2"/>
        </w:numPr>
        <w:spacing w:after="40" w:before="40"/>
      </w:pPr>
      <w:r>
        <w:rPr>
          <w:rFonts w:ascii="Calibri" w:cs="Calibri" w:eastAsia="Calibri" w:hAnsi="Calibri"/>
          <w:sz w:val="20"/>
          <w:szCs w:val="20"/>
        </w:rPr>
        <w:t xml:space="preserve">Threshold used: ±2.0 standard deviations from annual mean</w:t>
      </w:r>
    </w:p>
    <w:p>
      <w:pPr>
        <w:spacing w:after="60" w:before="60"/>
        <w:jc w:val="both"/>
      </w:pPr>
      <w:r>
        <w:rPr>
          <w:rFonts w:ascii="Calibri" w:cs="Calibri" w:eastAsia="Calibri" w:hAnsi="Calibri"/>
          <w:sz w:val="20"/>
          <w:szCs w:val="20"/>
        </w:rPr>
        <w:t xml:space="preserve">Note: COVID-era data (2020, 2021) was excluded from anomaly detection due to the statewide accountability pause. Schools with insufficient data in consecutive years were excluded from YOY calculations.</w:t>
      </w:r>
    </w:p>
    <w:p>
      <w:pPr>
        <w:spacing w:after="80" w:before="80"/>
      </w:pPr>
      <w:r>
        <w:t xml:space="preserve"/>
      </w:r>
    </w:p>
    <w:p>
      <w:pPr>
        <w:pBdr>
          <w:bottom w:val="single" w:color="1F3864" w:sz="6" w:space="4"/>
        </w:pBdr>
        <w:spacing w:after="120" w:before="400"/>
      </w:pPr>
      <w:r>
        <w:rPr>
          <w:rFonts w:ascii="Calibri" w:cs="Calibri" w:eastAsia="Calibri" w:hAnsi="Calibri"/>
          <w:b/>
          <w:bCs/>
          <w:color w:val="1F3864"/>
          <w:sz w:val="28"/>
          <w:szCs w:val="28"/>
        </w:rPr>
        <w:t xml:space="preserve">6. Equity Gap Analysis</w:t>
      </w:r>
    </w:p>
    <w:p>
      <w:pPr>
        <w:spacing w:after="80" w:before="320"/>
      </w:pPr>
      <w:r>
        <w:rPr>
          <w:rFonts w:ascii="Calibri" w:cs="Calibri" w:eastAsia="Calibri" w:hAnsi="Calibri"/>
          <w:b/>
          <w:bCs/>
          <w:color w:val="2E4057"/>
          <w:sz w:val="24"/>
          <w:szCs w:val="24"/>
        </w:rPr>
        <w:t xml:space="preserve">6.1 Subgroups Analyzed</w:t>
      </w:r>
    </w:p>
    <w:p>
      <w:pPr>
        <w:spacing w:after="60" w:before="60"/>
        <w:jc w:val="both"/>
      </w:pPr>
      <w:r>
        <w:rPr>
          <w:rFonts w:ascii="Calibri" w:cs="Calibri" w:eastAsia="Calibri" w:hAnsi="Calibri"/>
          <w:sz w:val="20"/>
          <w:szCs w:val="20"/>
        </w:rPr>
        <w:t xml:space="preserve">Subgroup achievement gaps are calculated by comparing the All Students achievement score to each disaggregated subgroup's achievement score at the school level. Subgroups analyzed include:</w:t>
      </w:r>
    </w:p>
    <w:p>
      <w:pPr>
        <w:pStyle w:val="ListParagraph"/>
        <w:numPr>
          <w:ilvl w:val="0"/>
          <w:numId w:val="2"/>
        </w:numPr>
        <w:spacing w:after="40" w:before="40"/>
      </w:pPr>
      <w:r>
        <w:rPr>
          <w:rFonts w:ascii="Calibri" w:cs="Calibri" w:eastAsia="Calibri" w:hAnsi="Calibri"/>
          <w:sz w:val="20"/>
          <w:szCs w:val="20"/>
        </w:rPr>
        <w:t xml:space="preserve">Free/Reduced-Price Lunch Eligible (FRL) — proxy for economic disadvantage</w:t>
      </w:r>
    </w:p>
    <w:p>
      <w:pPr>
        <w:pStyle w:val="ListParagraph"/>
        <w:numPr>
          <w:ilvl w:val="0"/>
          <w:numId w:val="2"/>
        </w:numPr>
        <w:spacing w:after="40" w:before="40"/>
      </w:pPr>
      <w:r>
        <w:rPr>
          <w:rFonts w:ascii="Calibri" w:cs="Calibri" w:eastAsia="Calibri" w:hAnsi="Calibri"/>
          <w:sz w:val="20"/>
          <w:szCs w:val="20"/>
        </w:rPr>
        <w:t xml:space="preserve">Multilingual Learners (ELL) — English Language Learners</w:t>
      </w:r>
    </w:p>
    <w:p>
      <w:pPr>
        <w:pStyle w:val="ListParagraph"/>
        <w:numPr>
          <w:ilvl w:val="0"/>
          <w:numId w:val="2"/>
        </w:numPr>
        <w:spacing w:after="40" w:before="40"/>
      </w:pPr>
      <w:r>
        <w:rPr>
          <w:rFonts w:ascii="Calibri" w:cs="Calibri" w:eastAsia="Calibri" w:hAnsi="Calibri"/>
          <w:sz w:val="20"/>
          <w:szCs w:val="20"/>
        </w:rPr>
        <w:t xml:space="preserve">Students with Disabilities (IEP) — students receiving special education services</w:t>
      </w:r>
    </w:p>
    <w:p>
      <w:pPr>
        <w:pStyle w:val="ListParagraph"/>
        <w:numPr>
          <w:ilvl w:val="0"/>
          <w:numId w:val="2"/>
        </w:numPr>
        <w:spacing w:after="40" w:before="40"/>
      </w:pPr>
      <w:r>
        <w:rPr>
          <w:rFonts w:ascii="Calibri" w:cs="Calibri" w:eastAsia="Calibri" w:hAnsi="Calibri"/>
          <w:sz w:val="20"/>
          <w:szCs w:val="20"/>
        </w:rPr>
        <w:t xml:space="preserve">Minority Students — combined non-white student population</w:t>
      </w:r>
    </w:p>
    <w:p>
      <w:pPr>
        <w:spacing w:after="80" w:before="80"/>
      </w:pPr>
      <w:r>
        <w:t xml:space="preserve"/>
      </w:r>
    </w:p>
    <w:p>
      <w:pPr>
        <w:spacing w:after="80" w:before="320"/>
      </w:pPr>
      <w:r>
        <w:rPr>
          <w:rFonts w:ascii="Calibri" w:cs="Calibri" w:eastAsia="Calibri" w:hAnsi="Calibri"/>
          <w:b/>
          <w:bCs/>
          <w:color w:val="2E4057"/>
          <w:sz w:val="24"/>
          <w:szCs w:val="24"/>
        </w:rPr>
        <w:t xml:space="preserve">6.2 Gap Calculation</w:t>
      </w:r>
    </w:p>
    <w:p>
      <w:pPr>
        <w:spacing w:after="60" w:before="60"/>
        <w:jc w:val="both"/>
      </w:pPr>
      <w:r>
        <w:rPr>
          <w:rFonts w:ascii="Calibri" w:cs="Calibri" w:eastAsia="Calibri" w:hAnsi="Calibri"/>
          <w:sz w:val="20"/>
          <w:szCs w:val="20"/>
        </w:rPr>
        <w:t xml:space="preserve">The achievement gap for each subgroup is calculated as:</w:t>
      </w:r>
    </w:p>
    <w:p>
      <w:pPr>
        <w:spacing w:after="120" w:before="120"/>
        <w:jc w:val="center"/>
      </w:pPr>
      <w:r>
        <w:rPr>
          <w:rFonts w:ascii="Courier New" w:cs="Courier New" w:eastAsia="Courier New" w:hAnsi="Courier New"/>
          <w:b/>
          <w:bCs/>
          <w:color w:val="1F3864"/>
          <w:sz w:val="20"/>
          <w:szCs w:val="20"/>
        </w:rPr>
        <w:t xml:space="preserve">Gap = All Students Achievement Score − Subgroup Achievement Score</w:t>
      </w:r>
    </w:p>
    <w:p>
      <w:pPr>
        <w:spacing w:after="60" w:before="60"/>
        <w:jc w:val="both"/>
      </w:pPr>
      <w:r>
        <w:rPr>
          <w:rFonts w:ascii="Calibri" w:cs="Calibri" w:eastAsia="Calibri" w:hAnsi="Calibri"/>
          <w:sz w:val="20"/>
          <w:szCs w:val="20"/>
        </w:rPr>
        <w:t xml:space="preserve">Positive values indicate the subgroup performs below the all-students average. Large gaps are flagged using the following thresholds, based on CDE's equity frameworks:</w:t>
      </w:r>
    </w:p>
    <w:p>
      <w:pPr>
        <w:pStyle w:val="ListParagraph"/>
        <w:numPr>
          <w:ilvl w:val="0"/>
          <w:numId w:val="2"/>
        </w:numPr>
        <w:spacing w:after="40" w:before="40"/>
      </w:pPr>
      <w:r>
        <w:rPr>
          <w:rFonts w:ascii="Calibri" w:cs="Calibri" w:eastAsia="Calibri" w:hAnsi="Calibri"/>
          <w:sz w:val="20"/>
          <w:szCs w:val="20"/>
        </w:rPr>
        <w:t xml:space="preserve">FRL gap &gt; 20 percentage points = Large gap flag</w:t>
      </w:r>
    </w:p>
    <w:p>
      <w:pPr>
        <w:pStyle w:val="ListParagraph"/>
        <w:numPr>
          <w:ilvl w:val="0"/>
          <w:numId w:val="2"/>
        </w:numPr>
        <w:spacing w:after="40" w:before="40"/>
      </w:pPr>
      <w:r>
        <w:rPr>
          <w:rFonts w:ascii="Calibri" w:cs="Calibri" w:eastAsia="Calibri" w:hAnsi="Calibri"/>
          <w:sz w:val="20"/>
          <w:szCs w:val="20"/>
        </w:rPr>
        <w:t xml:space="preserve">ELL gap &gt; 20 percentage points = Large gap flag</w:t>
      </w:r>
    </w:p>
    <w:p>
      <w:pPr>
        <w:pStyle w:val="ListParagraph"/>
        <w:numPr>
          <w:ilvl w:val="0"/>
          <w:numId w:val="2"/>
        </w:numPr>
        <w:spacing w:after="40" w:before="40"/>
      </w:pPr>
      <w:r>
        <w:rPr>
          <w:rFonts w:ascii="Calibri" w:cs="Calibri" w:eastAsia="Calibri" w:hAnsi="Calibri"/>
          <w:sz w:val="20"/>
          <w:szCs w:val="20"/>
        </w:rPr>
        <w:t xml:space="preserve">IEP gap &gt; 25 percentage points = Large gap flag</w:t>
      </w:r>
    </w:p>
    <w:p>
      <w:pPr>
        <w:spacing w:after="80" w:before="80"/>
      </w:pPr>
      <w:r>
        <w:t xml:space="preserve"/>
      </w:r>
    </w:p>
    <w:p>
      <w:pPr>
        <w:spacing w:after="80" w:before="320"/>
      </w:pPr>
      <w:r>
        <w:rPr>
          <w:rFonts w:ascii="Calibri" w:cs="Calibri" w:eastAsia="Calibri" w:hAnsi="Calibri"/>
          <w:b/>
          <w:bCs/>
          <w:color w:val="2E4057"/>
          <w:sz w:val="24"/>
          <w:szCs w:val="24"/>
        </w:rPr>
        <w:t xml:space="preserve">6.3 Results Summary (2024)</w:t>
      </w:r>
    </w:p>
    <w:p>
      <w:pPr>
        <w:pStyle w:val="ListParagraph"/>
        <w:numPr>
          <w:ilvl w:val="0"/>
          <w:numId w:val="2"/>
        </w:numPr>
        <w:spacing w:after="40" w:before="40"/>
      </w:pPr>
      <w:r>
        <w:rPr>
          <w:rFonts w:ascii="Calibri" w:cs="Calibri" w:eastAsia="Calibri" w:hAnsi="Calibri"/>
          <w:sz w:val="20"/>
          <w:szCs w:val="20"/>
        </w:rPr>
        <w:t xml:space="preserve">Schools with data for equity analysis: 1,643</w:t>
      </w:r>
    </w:p>
    <w:p>
      <w:pPr>
        <w:pStyle w:val="ListParagraph"/>
        <w:numPr>
          <w:ilvl w:val="0"/>
          <w:numId w:val="2"/>
        </w:numPr>
        <w:spacing w:after="40" w:before="40"/>
      </w:pPr>
      <w:r>
        <w:rPr>
          <w:rFonts w:ascii="Calibri" w:cs="Calibri" w:eastAsia="Calibri" w:hAnsi="Calibri"/>
          <w:sz w:val="20"/>
          <w:szCs w:val="20"/>
        </w:rPr>
        <w:t xml:space="preserve">Schools with large FRL gap (&gt;20 pts): 692 (42.1%)</w:t>
      </w:r>
    </w:p>
    <w:p>
      <w:pPr>
        <w:pStyle w:val="ListParagraph"/>
        <w:numPr>
          <w:ilvl w:val="0"/>
          <w:numId w:val="2"/>
        </w:numPr>
        <w:spacing w:after="40" w:before="40"/>
      </w:pPr>
      <w:r>
        <w:rPr>
          <w:rFonts w:ascii="Calibri" w:cs="Calibri" w:eastAsia="Calibri" w:hAnsi="Calibri"/>
          <w:sz w:val="20"/>
          <w:szCs w:val="20"/>
        </w:rPr>
        <w:t xml:space="preserve">Schools with large ELL gap (&gt;20 pts): 446 (27.1%)</w:t>
      </w:r>
    </w:p>
    <w:p>
      <w:pPr>
        <w:pStyle w:val="ListParagraph"/>
        <w:numPr>
          <w:ilvl w:val="0"/>
          <w:numId w:val="2"/>
        </w:numPr>
        <w:spacing w:after="40" w:before="40"/>
      </w:pPr>
      <w:r>
        <w:rPr>
          <w:rFonts w:ascii="Calibri" w:cs="Calibri" w:eastAsia="Calibri" w:hAnsi="Calibri"/>
          <w:sz w:val="20"/>
          <w:szCs w:val="20"/>
        </w:rPr>
        <w:t xml:space="preserve">Schools with large IEP gap (&gt;25 pts): 426 (25.9%)</w:t>
      </w:r>
    </w:p>
    <w:p>
      <w:pPr>
        <w:spacing w:after="60" w:before="60"/>
        <w:jc w:val="both"/>
      </w:pPr>
      <w:r>
        <w:rPr>
          <w:rFonts w:ascii="Calibri" w:cs="Calibri" w:eastAsia="Calibri" w:hAnsi="Calibri"/>
          <w:sz w:val="20"/>
          <w:szCs w:val="20"/>
        </w:rPr>
        <w:t xml:space="preserve">These findings indicate persistent and widespread achievement gaps, particularly for economically disadvantaged students, consistent with statewide equity challenges documented in CDE's annual accountability reports.</w:t>
      </w:r>
    </w:p>
    <w:p>
      <w:pPr>
        <w:spacing w:after="80" w:before="80"/>
      </w:pPr>
      <w:r>
        <w:t xml:space="preserve"/>
      </w:r>
    </w:p>
    <w:p>
      <w:pPr>
        <w:pBdr>
          <w:bottom w:val="single" w:color="1F3864" w:sz="6" w:space="4"/>
        </w:pBdr>
        <w:spacing w:after="120" w:before="400"/>
      </w:pPr>
      <w:r>
        <w:rPr>
          <w:rFonts w:ascii="Calibri" w:cs="Calibri" w:eastAsia="Calibri" w:hAnsi="Calibri"/>
          <w:b/>
          <w:bCs/>
          <w:color w:val="1F3864"/>
          <w:sz w:val="28"/>
          <w:szCs w:val="28"/>
        </w:rPr>
        <w:t xml:space="preserve">7. Data Quality Procedures</w:t>
      </w:r>
    </w:p>
    <w:p>
      <w:pPr>
        <w:spacing w:after="80" w:before="320"/>
      </w:pPr>
      <w:r>
        <w:rPr>
          <w:rFonts w:ascii="Calibri" w:cs="Calibri" w:eastAsia="Calibri" w:hAnsi="Calibri"/>
          <w:b/>
          <w:bCs/>
          <w:color w:val="2E4057"/>
          <w:sz w:val="24"/>
          <w:szCs w:val="24"/>
        </w:rPr>
        <w:t xml:space="preserve">7.1 Validation Checks</w:t>
      </w:r>
    </w:p>
    <w:p>
      <w:pPr>
        <w:spacing w:after="60" w:before="60"/>
        <w:jc w:val="both"/>
      </w:pPr>
      <w:r>
        <w:rPr>
          <w:rFonts w:ascii="Calibri" w:cs="Calibri" w:eastAsia="Calibri" w:hAnsi="Calibri"/>
          <w:sz w:val="20"/>
          <w:szCs w:val="20"/>
        </w:rPr>
        <w:t xml:space="preserve">The following data quality checks were applied during ingestion and are available as a dedicated data quality view (v_data_quality) in the database:</w:t>
      </w:r>
    </w:p>
    <w:p>
      <w:pPr>
        <w:pStyle w:val="ListParagraph"/>
        <w:numPr>
          <w:ilvl w:val="0"/>
          <w:numId w:val="2"/>
        </w:numPr>
        <w:spacing w:after="40" w:before="40"/>
      </w:pPr>
      <w:r>
        <w:rPr>
          <w:rFonts w:ascii="Calibri" w:cs="Calibri" w:eastAsia="Calibri" w:hAnsi="Calibri"/>
          <w:sz w:val="20"/>
          <w:szCs w:val="20"/>
        </w:rPr>
        <w:t xml:space="preserve">Null check: All key indicator fields checked for missing values — 88 schools (4.8%) have no composite score due to insufficient data</w:t>
      </w:r>
    </w:p>
    <w:p>
      <w:pPr>
        <w:pStyle w:val="ListParagraph"/>
        <w:numPr>
          <w:ilvl w:val="0"/>
          <w:numId w:val="2"/>
        </w:numPr>
        <w:spacing w:after="40" w:before="40"/>
      </w:pPr>
      <w:r>
        <w:rPr>
          <w:rFonts w:ascii="Calibri" w:cs="Calibri" w:eastAsia="Calibri" w:hAnsi="Calibri"/>
          <w:sz w:val="20"/>
          <w:szCs w:val="20"/>
        </w:rPr>
        <w:t xml:space="preserve">N-size flag: Schools with fewer than 20 students tested are flagged (n_size_flag = 1) — 267 schools flagged</w:t>
      </w:r>
    </w:p>
    <w:p>
      <w:pPr>
        <w:pStyle w:val="ListParagraph"/>
        <w:numPr>
          <w:ilvl w:val="0"/>
          <w:numId w:val="2"/>
        </w:numPr>
        <w:spacing w:after="40" w:before="40"/>
      </w:pPr>
      <w:r>
        <w:rPr>
          <w:rFonts w:ascii="Calibri" w:cs="Calibri" w:eastAsia="Calibri" w:hAnsi="Calibri"/>
          <w:sz w:val="20"/>
          <w:szCs w:val="20"/>
        </w:rPr>
        <w:t xml:space="preserve">Boundary check: Achievement percentiles validated to be between 0 and 100</w:t>
      </w:r>
    </w:p>
    <w:p>
      <w:pPr>
        <w:pStyle w:val="ListParagraph"/>
        <w:numPr>
          <w:ilvl w:val="0"/>
          <w:numId w:val="2"/>
        </w:numPr>
        <w:spacing w:after="40" w:before="40"/>
      </w:pPr>
      <w:r>
        <w:rPr>
          <w:rFonts w:ascii="Calibri" w:cs="Calibri" w:eastAsia="Calibri" w:hAnsi="Calibri"/>
          <w:sz w:val="20"/>
          <w:szCs w:val="20"/>
        </w:rPr>
        <w:t xml:space="preserve">Referential integrity: All school records validated against dim_school; all district records validated against dim_district</w:t>
      </w:r>
    </w:p>
    <w:p>
      <w:pPr>
        <w:pStyle w:val="ListParagraph"/>
        <w:numPr>
          <w:ilvl w:val="0"/>
          <w:numId w:val="2"/>
        </w:numPr>
        <w:spacing w:after="40" w:before="40"/>
      </w:pPr>
      <w:r>
        <w:rPr>
          <w:rFonts w:ascii="Calibri" w:cs="Calibri" w:eastAsia="Calibri" w:hAnsi="Calibri"/>
          <w:sz w:val="20"/>
          <w:szCs w:val="20"/>
        </w:rPr>
        <w:t xml:space="preserve">Year completeness: Schools present in all 6 years (2019–2024) confirmed for longitudinal analysis</w:t>
      </w:r>
    </w:p>
    <w:p>
      <w:pPr>
        <w:spacing w:after="80" w:before="80"/>
      </w:pPr>
      <w:r>
        <w:t xml:space="preserve"/>
      </w:r>
    </w:p>
    <w:p>
      <w:pPr>
        <w:spacing w:after="80" w:before="320"/>
      </w:pPr>
      <w:r>
        <w:rPr>
          <w:rFonts w:ascii="Calibri" w:cs="Calibri" w:eastAsia="Calibri" w:hAnsi="Calibri"/>
          <w:b/>
          <w:bCs/>
          <w:color w:val="2E4057"/>
          <w:sz w:val="24"/>
          <w:szCs w:val="24"/>
        </w:rPr>
        <w:t xml:space="preserve">7.2 Known Limitations</w:t>
      </w:r>
    </w:p>
    <w:p>
      <w:pPr>
        <w:pStyle w:val="ListParagraph"/>
        <w:numPr>
          <w:ilvl w:val="0"/>
          <w:numId w:val="2"/>
        </w:numPr>
        <w:spacing w:after="40" w:before="40"/>
      </w:pPr>
      <w:r>
        <w:rPr>
          <w:rFonts w:ascii="Calibri" w:cs="Calibri" w:eastAsia="Calibri" w:hAnsi="Calibri"/>
          <w:sz w:val="20"/>
          <w:szCs w:val="20"/>
        </w:rPr>
        <w:t xml:space="preserve">2020 and 2021 data: CDE paused accountability ratings statewide due to COVID-19. Ratings from 2019 were carried forward. These years are excluded from YOY anomaly detection.</w:t>
      </w:r>
    </w:p>
    <w:p>
      <w:pPr>
        <w:pStyle w:val="ListParagraph"/>
        <w:numPr>
          <w:ilvl w:val="0"/>
          <w:numId w:val="2"/>
        </w:numPr>
        <w:spacing w:after="40" w:before="40"/>
      </w:pPr>
      <w:r>
        <w:rPr>
          <w:rFonts w:ascii="Calibri" w:cs="Calibri" w:eastAsia="Calibri" w:hAnsi="Calibri"/>
          <w:sz w:val="20"/>
          <w:szCs w:val="20"/>
        </w:rPr>
        <w:t xml:space="preserve">AEC schools: Alternative Education Campuses (AECs) use a different framework and are included in counts but may have different weighting structures</w:t>
      </w:r>
    </w:p>
    <w:p>
      <w:pPr>
        <w:pStyle w:val="ListParagraph"/>
        <w:numPr>
          <w:ilvl w:val="0"/>
          <w:numId w:val="2"/>
        </w:numPr>
        <w:spacing w:after="40" w:before="40"/>
      </w:pPr>
      <w:r>
        <w:rPr>
          <w:rFonts w:ascii="Calibri" w:cs="Calibri" w:eastAsia="Calibri" w:hAnsi="Calibri"/>
          <w:sz w:val="20"/>
          <w:szCs w:val="20"/>
        </w:rPr>
        <w:t xml:space="preserve">Participation flags: Schools that did not meet the 95% participation threshold receive modified ratings. These are included in the dataset with their CDE-published modified rating</w:t>
      </w:r>
    </w:p>
    <w:p>
      <w:pPr>
        <w:pStyle w:val="ListParagraph"/>
        <w:numPr>
          <w:ilvl w:val="0"/>
          <w:numId w:val="2"/>
        </w:numPr>
        <w:spacing w:after="40" w:before="40"/>
      </w:pPr>
      <w:r>
        <w:rPr>
          <w:rFonts w:ascii="Calibri" w:cs="Calibri" w:eastAsia="Calibri" w:hAnsi="Calibri"/>
          <w:sz w:val="20"/>
          <w:szCs w:val="20"/>
        </w:rPr>
        <w:t xml:space="preserve">Missing subgroup data: Schools with fewer than 20 students in a subgroup do not receive subgroup scores — these are flagged and excluded from gap calculations</w:t>
      </w:r>
    </w:p>
    <w:p>
      <w:pPr>
        <w:pStyle w:val="ListParagraph"/>
        <w:numPr>
          <w:ilvl w:val="0"/>
          <w:numId w:val="2"/>
        </w:numPr>
        <w:spacing w:after="40" w:before="40"/>
      </w:pPr>
      <w:r>
        <w:rPr>
          <w:rFonts w:ascii="Calibri" w:cs="Calibri" w:eastAsia="Calibri" w:hAnsi="Calibri"/>
          <w:sz w:val="20"/>
          <w:szCs w:val="20"/>
        </w:rPr>
        <w:t xml:space="preserve">District composite scores: District-level pct_pts_earned was not available in the ratings_over_time file for 2024 — district ratings are sourced from the DPF Ratings Over Time file</w:t>
      </w:r>
    </w:p>
    <w:p>
      <w:pPr>
        <w:spacing w:after="80" w:before="80"/>
      </w:pPr>
      <w:r>
        <w:t xml:space="preserve"/>
      </w:r>
    </w:p>
    <w:p>
      <w:pPr>
        <w:pBdr>
          <w:bottom w:val="single" w:color="1F3864" w:sz="6" w:space="4"/>
        </w:pBdr>
        <w:spacing w:after="120" w:before="400"/>
      </w:pPr>
      <w:r>
        <w:rPr>
          <w:rFonts w:ascii="Calibri" w:cs="Calibri" w:eastAsia="Calibri" w:hAnsi="Calibri"/>
          <w:b/>
          <w:bCs/>
          <w:color w:val="1F3864"/>
          <w:sz w:val="28"/>
          <w:szCs w:val="28"/>
        </w:rPr>
        <w:t xml:space="preserve">8.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Calibri" w:cs="Calibri" w:eastAsia="Calibri" w:hAnsi="Calibri"/>
                <w:b/>
                <w:bCs/>
                <w:color w:val="FFFFFF"/>
                <w:sz w:val="18"/>
                <w:szCs w:val="18"/>
              </w:rPr>
              <w:t xml:space="preserve">Tool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Calibri" w:cs="Calibri" w:eastAsia="Calibri" w:hAnsi="Calibri"/>
                <w:b/>
                <w:bCs/>
                <w:color w:val="FFFFFF"/>
                <w:sz w:val="18"/>
                <w:szCs w:val="18"/>
              </w:rPr>
              <w:t xml:space="preserve">Version/Type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Calibri" w:cs="Calibri" w:eastAsia="Calibri" w:hAnsi="Calibri"/>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Python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3.x (pandas, scipy, matplotlib, seaborn)</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Data ingestion, cleaning, anomaly detection, visualization</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SQL (SQLite)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Views + indexed tables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Schema design, business rule calculations, performance tier assignment</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Power BI Desktop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Microsoft Power BI</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Interactive dashboard — 3-page field-facing and executive report</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DAX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Power BI DAX measures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Composite KPIs, tier counts, percent calculations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Git / GitHub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Version control</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Code repository, documentation, reproducibility</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CDE Data Portal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ed.cde.state.co.us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Calibri" w:cs="Calibri" w:eastAsia="Calibri" w:hAnsi="Calibri"/>
                <w:b w:val="false"/>
                <w:bCs w:val="false"/>
                <w:color w:val="000000"/>
                <w:sz w:val="18"/>
                <w:szCs w:val="18"/>
              </w:rPr>
              <w:t xml:space="preserve">Source data — Performance Framework flat files</w:t>
            </w:r>
          </w:p>
        </w:tc>
      </w:tr>
    </w:tbl>
    <w:p>
      <w:pPr>
        <w:spacing w:after="80" w:before="80"/>
      </w:pPr>
      <w:r>
        <w:t xml:space="preserve"/>
      </w:r>
    </w:p>
    <w:p>
      <w:pPr>
        <w:pBdr>
          <w:bottom w:val="single" w:color="1F3864" w:sz="6" w:space="4"/>
        </w:pBdr>
        <w:spacing w:after="120" w:before="400"/>
      </w:pPr>
      <w:r>
        <w:rPr>
          <w:rFonts w:ascii="Calibri" w:cs="Calibri" w:eastAsia="Calibri" w:hAnsi="Calibri"/>
          <w:b/>
          <w:bCs/>
          <w:color w:val="1F3864"/>
          <w:sz w:val="28"/>
          <w:szCs w:val="28"/>
        </w:rPr>
        <w:t xml:space="preserve">9. Reproducibility</w:t>
      </w:r>
    </w:p>
    <w:p>
      <w:pPr>
        <w:spacing w:after="60" w:before="60"/>
        <w:jc w:val="both"/>
      </w:pPr>
      <w:r>
        <w:rPr>
          <w:rFonts w:ascii="Calibri" w:cs="Calibri" w:eastAsia="Calibri" w:hAnsi="Calibri"/>
          <w:sz w:val="20"/>
          <w:szCs w:val="20"/>
        </w:rPr>
        <w:t xml:space="preserve">This analysis is fully reproducible. All source code, SQL views, and documentation are available in the public GitHub repository. To reproduce the analysis:</w:t>
      </w:r>
    </w:p>
    <w:p>
      <w:pPr>
        <w:pStyle w:val="ListParagraph"/>
        <w:numPr>
          <w:ilvl w:val="0"/>
          <w:numId w:val="2"/>
        </w:numPr>
        <w:spacing w:after="40" w:before="40"/>
      </w:pPr>
      <w:r>
        <w:rPr>
          <w:rFonts w:ascii="Calibri" w:cs="Calibri" w:eastAsia="Calibri" w:hAnsi="Calibri"/>
          <w:sz w:val="20"/>
          <w:szCs w:val="20"/>
        </w:rPr>
        <w:t xml:space="preserve">Download the 3 CDE source files from ed.cde.state.co.us/accountability/data-files</w:t>
      </w:r>
    </w:p>
    <w:p>
      <w:pPr>
        <w:pStyle w:val="ListParagraph"/>
        <w:numPr>
          <w:ilvl w:val="0"/>
          <w:numId w:val="2"/>
        </w:numPr>
        <w:spacing w:after="40" w:before="40"/>
      </w:pPr>
      <w:r>
        <w:rPr>
          <w:rFonts w:ascii="Calibri" w:cs="Calibri" w:eastAsia="Calibri" w:hAnsi="Calibri"/>
          <w:sz w:val="20"/>
          <w:szCs w:val="20"/>
        </w:rPr>
        <w:t xml:space="preserve">Run python/01_ingest.py to build the SQLite database and apply all SQL views</w:t>
      </w:r>
    </w:p>
    <w:p>
      <w:pPr>
        <w:pStyle w:val="ListParagraph"/>
        <w:numPr>
          <w:ilvl w:val="0"/>
          <w:numId w:val="2"/>
        </w:numPr>
        <w:spacing w:after="40" w:before="40"/>
      </w:pPr>
      <w:r>
        <w:rPr>
          <w:rFonts w:ascii="Calibri" w:cs="Calibri" w:eastAsia="Calibri" w:hAnsi="Calibri"/>
          <w:sz w:val="20"/>
          <w:szCs w:val="20"/>
        </w:rPr>
        <w:t xml:space="preserve">Run python/02_analysis.py to generate anomaly detection results, equity gap analysis, chart exports, and Power BI CSVs</w:t>
      </w:r>
    </w:p>
    <w:p>
      <w:pPr>
        <w:pStyle w:val="ListParagraph"/>
        <w:numPr>
          <w:ilvl w:val="0"/>
          <w:numId w:val="2"/>
        </w:numPr>
        <w:spacing w:after="40" w:before="40"/>
      </w:pPr>
      <w:r>
        <w:rPr>
          <w:rFonts w:ascii="Calibri" w:cs="Calibri" w:eastAsia="Calibri" w:hAnsi="Calibri"/>
          <w:sz w:val="20"/>
          <w:szCs w:val="20"/>
        </w:rPr>
        <w:t xml:space="preserve">Open the Power BI file and refresh data connections to the exported CSV files</w:t>
      </w:r>
    </w:p>
    <w:p>
      <w:pPr>
        <w:spacing w:after="60" w:before="60"/>
        <w:jc w:val="both"/>
      </w:pPr>
      <w:r>
        <w:rPr>
          <w:rFonts w:ascii="Calibri" w:cs="Calibri" w:eastAsia="Calibri" w:hAnsi="Calibri"/>
          <w:sz w:val="20"/>
          <w:szCs w:val="20"/>
        </w:rPr>
        <w:t xml:space="preserve">All business rules are documented inline in sql/02_calculations.sql. The ingestion script handles all data type conversions, null handling, and referential integrity checks automatically.</w:t>
      </w:r>
    </w:p>
    <w:p>
      <w:pPr>
        <w:spacing w:after="80" w:before="80"/>
      </w:pPr>
      <w:r>
        <w:t xml:space="preserve"/>
      </w:r>
    </w:p>
    <w:p>
      <w:pPr>
        <w:pBdr>
          <w:bottom w:val="single" w:color="1F3864" w:sz="6" w:space="4"/>
        </w:pBdr>
        <w:spacing w:after="120" w:before="400"/>
      </w:pPr>
      <w:r>
        <w:rPr>
          <w:rFonts w:ascii="Calibri" w:cs="Calibri" w:eastAsia="Calibri" w:hAnsi="Calibri"/>
          <w:b/>
          <w:bCs/>
          <w:color w:val="1F3864"/>
          <w:sz w:val="28"/>
          <w:szCs w:val="28"/>
        </w:rPr>
        <w:t xml:space="preserve">10. References</w:t>
      </w:r>
    </w:p>
    <w:p>
      <w:pPr>
        <w:pStyle w:val="ListParagraph"/>
        <w:numPr>
          <w:ilvl w:val="0"/>
          <w:numId w:val="2"/>
        </w:numPr>
        <w:spacing w:after="40" w:before="40"/>
      </w:pPr>
      <w:r>
        <w:rPr>
          <w:rFonts w:ascii="Calibri" w:cs="Calibri" w:eastAsia="Calibri" w:hAnsi="Calibri"/>
          <w:sz w:val="20"/>
          <w:szCs w:val="20"/>
        </w:rPr>
        <w:t xml:space="preserve">Colorado Department of Education. (2024). 2024 School and District Performance Framework Final Files. Retrieved from ed.cde.state.co.us/accountability/data-files</w:t>
      </w:r>
    </w:p>
    <w:p>
      <w:pPr>
        <w:pStyle w:val="ListParagraph"/>
        <w:numPr>
          <w:ilvl w:val="0"/>
          <w:numId w:val="2"/>
        </w:numPr>
        <w:spacing w:after="40" w:before="40"/>
      </w:pPr>
      <w:r>
        <w:rPr>
          <w:rFonts w:ascii="Calibri" w:cs="Calibri" w:eastAsia="Calibri" w:hAnsi="Calibri"/>
          <w:sz w:val="20"/>
          <w:szCs w:val="20"/>
        </w:rPr>
        <w:t xml:space="preserve">Colorado Department of Education. (2025). 2025-26 District Accountability Handbook. Retrieved from cde.state.co.us/accountability/accountability-resources</w:t>
      </w:r>
    </w:p>
    <w:p>
      <w:pPr>
        <w:pStyle w:val="ListParagraph"/>
        <w:numPr>
          <w:ilvl w:val="0"/>
          <w:numId w:val="2"/>
        </w:numPr>
        <w:spacing w:after="40" w:before="40"/>
      </w:pPr>
      <w:r>
        <w:rPr>
          <w:rFonts w:ascii="Calibri" w:cs="Calibri" w:eastAsia="Calibri" w:hAnsi="Calibri"/>
          <w:sz w:val="20"/>
          <w:szCs w:val="20"/>
        </w:rPr>
        <w:t xml:space="preserve">Colorado Department of Education. (2024). Calculation Guidance for Performance Framework Indicators. Retrieved from cde.state.co.us/accountability</w:t>
      </w:r>
    </w:p>
    <w:p>
      <w:pPr>
        <w:pStyle w:val="ListParagraph"/>
        <w:numPr>
          <w:ilvl w:val="0"/>
          <w:numId w:val="2"/>
        </w:numPr>
        <w:spacing w:after="40" w:before="40"/>
      </w:pPr>
      <w:r>
        <w:rPr>
          <w:rFonts w:ascii="Calibri" w:cs="Calibri" w:eastAsia="Calibri" w:hAnsi="Calibri"/>
          <w:sz w:val="20"/>
          <w:szCs w:val="20"/>
        </w:rPr>
        <w:t xml:space="preserve">Colorado Department of Education. (2024). SPF and DPF Ratings Over Time — 2019 to 2024. Retrieved from ed.cde.state.co.us/accountability/data-files</w:t>
      </w:r>
    </w:p>
    <w:p>
      <w:pPr>
        <w:spacing w:after="80" w:before="80"/>
      </w:pPr>
      <w:r>
        <w:t xml:space="preserve"/>
      </w:r>
    </w:p>
    <w:p>
      <w:pPr>
        <w:spacing w:after="0" w:before="480"/>
        <w:jc w:val="center"/>
      </w:pPr>
      <w:r>
        <w:rPr>
          <w:rFonts w:ascii="Calibri" w:cs="Calibri" w:eastAsia="Calibri" w:hAnsi="Calibri"/>
          <w:i/>
          <w:iCs/>
          <w:color w:val="9CA3AF"/>
          <w:sz w:val="16"/>
          <w:szCs w:val="16"/>
        </w:rPr>
        <w:t xml:space="preserve">This analysis uses publicly available CDE data and is intended for portfolio and analytical demonstration purposes. All calculations reflect CDE's published methodology as documented in the 2024 accountability handbooks.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2026-04-13T12:43:13.574Z</dcterms:created>
  <dcterms:modified xsi:type="dcterms:W3CDTF">2026-04-13T12:43:13.574Z</dcterms:modified>
</cp:coreProperties>
</file>

<file path=docProps/custom.xml><?xml version="1.0" encoding="utf-8"?>
<Properties xmlns="http://schemas.openxmlformats.org/officeDocument/2006/custom-properties" xmlns:vt="http://schemas.openxmlformats.org/officeDocument/2006/docPropsVTypes"/>
</file>