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HSBC Life Benefits v3 — WAF Rule Group: Existing Baseline vs Tuning Requirement</w:t>
      </w:r>
    </w:p>
    <w:p>
      <w:pPr>
        <w:pBdr>
          <w:bottom w:val="single" w:color="1F3864" w:sz="8" w:space="6"/>
        </w:pBdr>
        <w:spacing w:after="200"/>
      </w:pPr>
      <w:r>
        <w:rPr>
          <w:i/>
          <w:iCs/>
          <w:color w:val="595959"/>
          <w:sz w:val="18"/>
          <w:szCs w:val="18"/>
        </w:rPr>
        <w:t xml:space="preserve">Source: b.txt (aws_wafv2_rule_group.hsbc_life_custom) compared against the tuning document sections 3.1–3.8</w:t>
      </w:r>
    </w:p>
    <w:p>
      <w:pPr>
        <w:pStyle w:val="Heading1"/>
        <w:spacing w:after="120" w:before="260"/>
      </w:pPr>
      <w:r>
        <w:t xml:space="preserve">1. What already exists in b.txt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Resource: aws_wafv2_rule_group.hsbc_life_custom · name = ${var.service_name}-custom-780-${var.policy_ver} · capacity = 780 · metric = insurancetechnologycustomrulegroup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1.1 Rules present in the rule group</w:t>
      </w:r>
    </w:p>
    <w:tbl>
      <w:tblPr>
        <w:tblW w:type="dxa" w:w="153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3CAD3" w:sz="2"/>
          <w:insideV w:val="single" w:color="C3CAD3" w:sz="2"/>
        </w:tblBorders>
      </w:tblPr>
      <w:tblGrid>
        <w:gridCol w:w="1500"/>
        <w:gridCol w:w="850"/>
        <w:gridCol w:w="2300"/>
        <w:gridCol w:w="6000"/>
        <w:gridCol w:w="2900"/>
        <w:gridCol w:w="175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Label consumed (scope LABEL)</w:t>
            </w:r>
          </w:p>
        </w:tc>
        <w:tc>
          <w:tcPr>
            <w:tcW w:type="dxa" w:w="6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URI match logic (uri_path, URL_DECODE)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Label added on match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custom-10030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“/hsbcportal/cms/wysiwyg_images/upload”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custom-10031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“/hsbcportal/catalog/category_image/upload”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custom-10032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“/hsbcportal/catalog/category_image/upload”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custom-10033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“/hsbcportal/weltowlcarousel/banner/save”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custom-10034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“/hsbcportal/weltowlcarousel/banner/save”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custom-10035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“/hsbcportal/csmarketplace/vendor/save”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custom-10036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“/hsbcportal/csmarketplace/vendor/save”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custom-10037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( STARTS_WITH “/claim-service/api/v1/clients” OR STARTS_WITH “/claim/api/v1/clients” ) AND CONTAINS “/users/” AND CONTAINS “/claim/documents/”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custom-10038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( STARTS_WITH “/claim-service/api/v1/clients” OR STARTS_WITH “/claim/api/v1/clients” ) AND CONTAINS “/users/” AND CONTAINS “/claim/documents/”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custom-10039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“/prescription/api/clients” AND CONTAINS “/users/” AND CONTAINS “patientId”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custom-10040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“/prescription/api/clients” AND CONTAINS “/users/” AND CONTAINS “patientId”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custom-10041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“/hsbcportal/catalog/product_gallery/upload”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custom-10042</w:t>
            </w:r>
          </w:p>
        </w:tc>
        <w:tc>
          <w:tcPr>
            <w:tcW w:type="dxa" w:w="8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“/hsbcportal/catalog/product_gallery/upload”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owasp-mitigate-xss_FalsePositive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custom-10043</w:t>
            </w:r>
          </w:p>
        </w:tc>
        <w:tc>
          <w:tcPr>
            <w:tcW w:type="dxa" w:w="8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2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</w:t>
            </w:r>
          </w:p>
        </w:tc>
        <w:tc>
          <w:tcPr>
            <w:tcW w:type="dxa" w:w="60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STARTS_WITH “/csproduct/product_gallery/upload”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SizeRestrictions_Body_FalsePositive</w:t>
            </w:r>
          </w:p>
        </w:tc>
        <w:tc>
          <w:tcPr>
            <w:tcW w:type="dxa" w:w="175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SizeRestrictionsCatch_Body</w:t>
            </w:r>
          </w:p>
        </w:tc>
        <w:tc>
          <w:tcPr>
            <w:tcW w:type="dxa" w:w="85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3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SizeRestrictions_Body AND NOT SizeRestrictions_Body_FalsePositive</w:t>
            </w:r>
          </w:p>
        </w:tc>
        <w:tc>
          <w:tcPr>
            <w:tcW w:type="dxa" w:w="60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 — label logic only</w:t>
            </w:r>
          </w:p>
        </w:tc>
        <w:tc>
          <w:tcPr>
            <w:tcW w:type="dxa" w:w="29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75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Block</w:t>
            </w:r>
          </w:p>
        </w:tc>
      </w:tr>
      <w:tr>
        <w:tc>
          <w:tcPr>
            <w:tcW w:type="dxa" w:w="15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CrossSiteScriptingCatch_Body</w:t>
            </w:r>
          </w:p>
        </w:tc>
        <w:tc>
          <w:tcPr>
            <w:tcW w:type="dxa" w:w="85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23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owasp-mitigate-xss AND NOT owasp-mitigate-xss_FalsePositive</w:t>
            </w:r>
          </w:p>
        </w:tc>
        <w:tc>
          <w:tcPr>
            <w:tcW w:type="dxa" w:w="60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 — label logic only</w:t>
            </w:r>
          </w:p>
        </w:tc>
        <w:tc>
          <w:tcPr>
            <w:tcW w:type="dxa" w:w="290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  <w:tc>
          <w:tcPr>
            <w:tcW w:type="dxa" w:w="1750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Block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Group A (custom-10030) is size-only. Group B (custom-10031 to custom-10042) is paired — one rule per label per URI. custom-10043 was added at priority 21 and is size-only. Priorities 14–20 are unused.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1.2 Conditions applied to every whitelist rule</w:t>
      </w:r>
    </w:p>
    <w:tbl>
      <w:tblPr>
        <w:tblW w:type="dxa" w:w="153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3CAD3" w:sz="2"/>
          <w:insideV w:val="single" w:color="C3CAD3" w:sz="2"/>
        </w:tblBorders>
      </w:tblPr>
      <w:tblGrid>
        <w:gridCol w:w="2900"/>
        <w:gridCol w:w="124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12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Implementation in b.txt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HTTP method</w:t>
            </w:r>
          </w:p>
        </w:tc>
        <w:tc>
          <w:tcPr>
            <w:tcW w:type="dxa" w:w="12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byte_match on method, search “post”, LOWERCASE, EXACTLY</w:t>
            </w:r>
          </w:p>
        </w:tc>
      </w:tr>
      <w:tr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Content-Type header</w:t>
            </w:r>
          </w:p>
        </w:tc>
        <w:tc>
          <w:tcPr>
            <w:tcW w:type="dxa" w:w="124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byte_match on single_header “content-type”, search “multipart/form-data”, LOWERCASE, STARTS_WITH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File type (body regex)</w:t>
            </w:r>
          </w:p>
        </w:tc>
        <w:tc>
          <w:tcPr>
            <w:tcW w:type="dxa" w:w="12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(?i)(?:\.GIF|\.jpg|\.jpeg|\.heic|\.png|\.pdf) on body, transform NONE — except custom-10043 which uses (?i)\.jpe?g only</w:t>
            </w:r>
          </w:p>
        </w:tc>
      </w:tr>
      <w:tr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Body size</w:t>
            </w:r>
          </w:p>
        </w:tc>
        <w:tc>
          <w:tcPr>
            <w:tcW w:type="dxa" w:w="124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size_constraint on body, comparison LT, size = 5242880 (5 MB)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Host header</w:t>
            </w:r>
          </w:p>
        </w:tc>
        <w:tc>
          <w:tcPr>
            <w:tcW w:type="dxa" w:w="124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or_statement over 14 hostnames — dlpaasrngb6ue.cloudfront.net, benefitsplus-preprod, benefitsplus-distribution-platform, healthylife-choices, healthylife-auth, healthylife, healthylife-choice (.hsbc.com.hk), cliniclist.insurance.hsbc.com.sg, plus the -preprod variants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1.3 Catch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SizeRestrictionsCatch_Body — priority 100, Block — fires where SizeRestrictions_Body is present AND the FalsePositive label is absent.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CrossSiteScriptingCatch_Body — priority 110, Block — fires where owasp-mitigate-xss is present AND the FalsePositive label is absent.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Both catch rules sit after every whitelist rule, so a whitelist match suppresses the block.</w:t>
      </w:r>
    </w:p>
    <w:p>
      <w:pPr>
        <w:spacing w:after="100"/>
      </w:pPr>
    </w:p>
    <w:p>
      <w:pPr>
        <w:pStyle w:val="Heading1"/>
        <w:spacing w:after="120" w:before="260"/>
      </w:pPr>
      <w:r>
        <w:t xml:space="preserve">2. What the requirement asks for</w:t>
      </w:r>
    </w:p>
    <w:p>
      <w:pPr>
        <w:pStyle w:val="Heading2"/>
        <w:spacing w:after="100" w:before="200"/>
      </w:pPr>
      <w:r>
        <w:t xml:space="preserve">2.1 Tuning scope stated in the requirement</w:t>
      </w:r>
    </w:p>
    <w:tbl>
      <w:tblPr>
        <w:tblW w:type="dxa" w:w="153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3CAD3" w:sz="2"/>
          <w:insideV w:val="single" w:color="C3CAD3" w:sz="2"/>
        </w:tblBorders>
      </w:tblPr>
      <w:tblGrid>
        <w:gridCol w:w="1300"/>
        <w:gridCol w:w="3600"/>
        <w:gridCol w:w="6200"/>
        <w:gridCol w:w="1300"/>
        <w:gridCol w:w="29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Rule(s) named</w:t>
            </w:r>
          </w:p>
        </w:tc>
        <w:tc>
          <w:tcPr>
            <w:tcW w:type="dxa" w:w="6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Request URI required in tuning scope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HTTP method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 conditions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1 &amp; 2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 and CrossSiteScripting_BODY</w:t>
            </w:r>
          </w:p>
        </w:tc>
        <w:tc>
          <w:tcPr>
            <w:tcW w:type="dxa" w:w="6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“/claim-service/api/v1/clients” OR “/claim/api/v1/clients”, AND “/claim/documents/”, AND “/users/”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multipart/form-data; GIF .jpg .jpeg .heic .png .pdf; MAX 5242880</w:t>
            </w:r>
          </w:p>
        </w:tc>
      </w:tr>
      <w:tr>
        <w:tc>
          <w:tcPr>
            <w:tcW w:type="dxa" w:w="1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3</w:t>
            </w:r>
          </w:p>
        </w:tc>
        <w:tc>
          <w:tcPr>
            <w:tcW w:type="dxa" w:w="36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 and CrossSiteScripting_BODY</w:t>
            </w:r>
          </w:p>
        </w:tc>
        <w:tc>
          <w:tcPr>
            <w:tcW w:type="dxa" w:w="62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“/prescription/api/clients” AND “/users/” AND “patientId” — i.e. /prescription/api/clients/{client}/users/{userId}/patientId/{patientId}/uploaddocument</w:t>
            </w:r>
          </w:p>
        </w:tc>
        <w:tc>
          <w:tcPr>
            <w:tcW w:type="dxa" w:w="1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multipart/form-data; GIF .jpg .jpeg .heic .png .pdf; MAX 5242880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2.2 App Team evidence of false positive — sections 3.1 to 3.8</w:t>
      </w:r>
    </w:p>
    <w:tbl>
      <w:tblPr>
        <w:tblW w:type="dxa" w:w="153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3CAD3" w:sz="2"/>
          <w:insideV w:val="single" w:color="C3CAD3" w:sz="2"/>
        </w:tblBorders>
      </w:tblPr>
      <w:tblGrid>
        <w:gridCol w:w="900"/>
        <w:gridCol w:w="3200"/>
        <w:gridCol w:w="8100"/>
        <w:gridCol w:w="13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 evidenced</w:t>
            </w:r>
          </w:p>
        </w:tc>
        <w:tc>
          <w:tcPr>
            <w:tcW w:type="dxa" w:w="81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Request URI in App Team evidence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 scope of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</w:t>
            </w:r>
          </w:p>
        </w:tc>
        <w:tc>
          <w:tcPr>
            <w:tcW w:type="dxa" w:w="8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/claim-service/api/v1/clients/hase/users/3660/claim/documents/Receipt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1 &amp; 2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3.2</w:t>
            </w:r>
          </w:p>
        </w:tc>
        <w:tc>
          <w:tcPr>
            <w:tcW w:type="dxa" w:w="32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CrossSiteScripting_BODY</w:t>
            </w:r>
          </w:p>
        </w:tc>
        <w:tc>
          <w:tcPr>
            <w:tcW w:type="dxa" w:w="81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/claim-service/api/v1/clients/hase/users/3660/claim/documents/Receipt</w:t>
            </w:r>
          </w:p>
        </w:tc>
        <w:tc>
          <w:tcPr>
            <w:tcW w:type="dxa" w:w="1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1 &amp; 2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3.3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 and CrossSiteScripting_BODY</w:t>
            </w:r>
          </w:p>
        </w:tc>
        <w:tc>
          <w:tcPr>
            <w:tcW w:type="dxa" w:w="8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/claim-service/api/v1/clients/hase/users/3660/claim/documents/upload-additional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1 &amp; 2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3.4</w:t>
            </w:r>
          </w:p>
        </w:tc>
        <w:tc>
          <w:tcPr>
            <w:tcW w:type="dxa" w:w="32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 and CrossSiteScripting_BODY</w:t>
            </w:r>
          </w:p>
        </w:tc>
        <w:tc>
          <w:tcPr>
            <w:tcW w:type="dxa" w:w="81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/claim/api/v1/clients/hase/users/485/claim/documents/Receipt</w:t>
            </w:r>
          </w:p>
        </w:tc>
        <w:tc>
          <w:tcPr>
            <w:tcW w:type="dxa" w:w="1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1 &amp; 2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</w:t>
            </w:r>
          </w:p>
        </w:tc>
        <w:tc>
          <w:tcPr>
            <w:tcW w:type="dxa" w:w="8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/claim/api/v1/clients/hase/users/485/claim/documents/Receipt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1 &amp; 2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3.6</w:t>
            </w:r>
          </w:p>
        </w:tc>
        <w:tc>
          <w:tcPr>
            <w:tcW w:type="dxa" w:w="32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</w:t>
            </w:r>
          </w:p>
        </w:tc>
        <w:tc>
          <w:tcPr>
            <w:tcW w:type="dxa" w:w="81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/prescription/api/clients/hsbc/users/1269/patientId/1269/uploaddocument</w:t>
            </w:r>
          </w:p>
        </w:tc>
        <w:tc>
          <w:tcPr>
            <w:tcW w:type="dxa" w:w="1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3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3.7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CrossSiteScripting_BODY</w:t>
            </w:r>
          </w:p>
        </w:tc>
        <w:tc>
          <w:tcPr>
            <w:tcW w:type="dxa" w:w="81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/prescription/api/clients/hsbc/users/1269/patientId/1269/uploaddocument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3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3.8</w:t>
            </w:r>
          </w:p>
        </w:tc>
        <w:tc>
          <w:tcPr>
            <w:tcW w:type="dxa" w:w="32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SizeRestriction_BODY</w:t>
            </w:r>
          </w:p>
        </w:tc>
        <w:tc>
          <w:tcPr>
            <w:tcW w:type="dxa" w:w="81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/prescription/api/clients/hsbc/users/1269/patientId/1269/uploaddocument</w:t>
            </w:r>
          </w:p>
        </w:tc>
        <w:tc>
          <w:tcPr>
            <w:tcW w:type="dxa" w:w="13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FP 3</w:t>
            </w:r>
          </w:p>
        </w:tc>
      </w:tr>
    </w:tbl>
    <w:p>
      <w:pPr>
        <w:spacing w:after="100"/>
      </w:pPr>
    </w:p>
    <w:p>
      <w:pPr>
        <w:pStyle w:val="Heading1"/>
        <w:spacing w:after="120" w:before="260"/>
      </w:pPr>
      <w:r>
        <w:t xml:space="preserve">3. Cross-comparison: §3.1–3.8 against the existing rule group</w:t>
      </w:r>
    </w:p>
    <w:tbl>
      <w:tblPr>
        <w:tblW w:type="dxa" w:w="153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3CAD3" w:sz="2"/>
          <w:insideV w:val="single" w:color="C3CAD3" w:sz="2"/>
        </w:tblBorders>
      </w:tblPr>
      <w:tblGrid>
        <w:gridCol w:w="900"/>
        <w:gridCol w:w="4000"/>
        <w:gridCol w:w="3000"/>
        <w:gridCol w:w="1400"/>
        <w:gridCol w:w="6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§</w:t>
            </w:r>
          </w:p>
        </w:tc>
        <w:tc>
          <w:tcPr>
            <w:tcW w:type="dxa" w:w="4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Evidence URI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Existing rule that covers it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action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/claim-service/.../users/3660/claim/documents/Receipt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custom-10037 (Size)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five scope conditions present in rule.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3.2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/claim-service/.../users/3660/claim/documents/Receipt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custom-10038 (XSS)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3.3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/claim-service/.../claim/documents/upload-additional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custom-10037 + 10038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CONTAINS “/claim/documents/” catches the trailing segment.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3.4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/claim/api/v1/.../users/485/claim/documents/Receipt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custom-10037 + 10038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Matches the second OR branch.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/claim/api/v1/.../users/485/claim/documents/Receipt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custom-10037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Duplicate of §3.4 evidence — no extra rule needed.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3.6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/prescription/api/clients/hsbc/users/1269/patientId/1269/uploaddocument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custom-10039 (Size)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“patientId” uses URL_DECODE, so case is preserved and the literal matches.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3.7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same as 3.6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custom-10040 (XSS)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9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3.8</w:t>
            </w:r>
          </w:p>
        </w:tc>
        <w:tc>
          <w:tcPr>
            <w:tcW w:type="dxa" w:w="4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same as 3.6</w:t>
            </w:r>
          </w:p>
        </w:tc>
        <w:tc>
          <w:tcPr>
            <w:tcW w:type="dxa" w:w="3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custom-10039</w:t>
            </w:r>
          </w:p>
        </w:tc>
        <w:tc>
          <w:tcPr>
            <w:tcW w:type="dxa" w:w="14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Covered</w:t>
            </w:r>
          </w:p>
        </w:tc>
        <w:tc>
          <w:tcPr>
            <w:tcW w:type="dxa" w:w="6000"/>
            <w:shd w:fill="E7F3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Exact duplicate of §3.6 evidence.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Result: all eight evidence items fall inside rules that are already deployed. No evidence item is left uncovered, and no rule in scope is unevidenced.</w:t>
      </w:r>
    </w:p>
    <w:p>
      <w:pPr>
        <w:spacing w:after="100"/>
      </w:pPr>
    </w:p>
    <w:p>
      <w:pPr>
        <w:pStyle w:val="Heading1"/>
        <w:spacing w:after="120" w:before="260"/>
      </w:pPr>
      <w:r>
        <w:t xml:space="preserve">4. Open points to close before sign-off</w:t>
      </w:r>
    </w:p>
    <w:tbl>
      <w:tblPr>
        <w:tblW w:type="dxa" w:w="153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C3CAD3" w:sz="2"/>
          <w:insideV w:val="single" w:color="C3CAD3" w:sz="2"/>
        </w:tblBorders>
      </w:tblPr>
      <w:tblGrid>
        <w:gridCol w:w="700"/>
        <w:gridCol w:w="3900"/>
        <w:gridCol w:w="107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0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 / recommended action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Requirement asks for tuning; rule group already contains it</w:t>
            </w:r>
          </w:p>
        </w:tc>
        <w:tc>
          <w:tcPr>
            <w:tcW w:type="dxa" w:w="10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custom-10037 to custom-10040 already implement FP 1&amp;2 and FP 3 in full. No new rule is required for §3.1–3.8. The change request is therefore a re-validation, not a build.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Numbering collision in the requirement doc</w:t>
            </w:r>
          </w:p>
        </w:tc>
        <w:tc>
          <w:tcPr>
            <w:tcW w:type="dxa" w:w="10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“3.8” is used twice — once for the SizeRestriction_BODY evidence item and once for “App Team Attestation”. Renumber the attestation to 3.9.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Redundant evidence items</w:t>
            </w:r>
          </w:p>
        </w:tc>
        <w:tc>
          <w:tcPr>
            <w:tcW w:type="dxa" w:w="10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§3.5 duplicates §3.4 and §3.8 duplicates §3.6. Either merge, or state what differs (body size, file type) to justify the second sample.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Evidence does not record the scope conditions</w:t>
            </w:r>
          </w:p>
        </w:tc>
        <w:tc>
          <w:tcPr>
            <w:tcW w:type="dxa" w:w="10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 of §3.1–3.8 records Content-Type, file extension or actual body size, yet all four rules are conditioned on multipart/form-data, the six file types and &lt; 5 MB. Add these three columns per evidence item.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Literal “..” in the requirement URI</w:t>
            </w:r>
          </w:p>
        </w:tc>
        <w:tc>
          <w:tcPr>
            <w:tcW w:type="dxa" w:w="10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 requirement writes /claim/api/v1/clients/hase/users/../claim/documents/. Reads as a path-traversal sequence. Restate as {userId} to match the {client}/{userId}/{patientId} convention used for FP 3.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Checklist items left unticked</w:t>
            </w:r>
          </w:p>
        </w:tc>
        <w:tc>
          <w:tcPr>
            <w:tcW w:type="dxa" w:w="10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§2 IP Address (F12 known issue) and §5 Security Risk Assessment are unticked. §5 is the Tuning Engineer’s own attestation and must be completed for all eight items before sign-off.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Retired SHOP URIs</w:t>
            </w:r>
          </w:p>
        </w:tc>
        <w:tc>
          <w:tcPr>
            <w:tcW w:type="dxa" w:w="10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 note states tuning for non-existent URIs returns 404 and will be narrowed in 2–4 weeks. Tie that to a dated action, otherwise the broader scope persists silently.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Scope wider than evidence</w:t>
            </w:r>
          </w:p>
        </w:tc>
        <w:tc>
          <w:tcPr>
            <w:tcW w:type="dxa" w:w="10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 CONTAINS logic exempts any {client} value and any segment after /claim/documents/. Evidence only demonstrates hase, hsbc, Receipt and upload-additional. Pin terminal segments in the narrowed version.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Residual risk to record in §5</w:t>
            </w:r>
          </w:p>
        </w:tc>
        <w:tc>
          <w:tcPr>
            <w:tcW w:type="dxa" w:w="10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Excluding SizeRestrictions_Body up to 5 MB means the body beyond the WebACL inspection limit is not inspected by any body rule, not just this one. State explicitly.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9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custom-10043 file-type regex is narrower</w:t>
            </w:r>
          </w:p>
        </w:tc>
        <w:tc>
          <w:tcPr>
            <w:tcW w:type="dxa" w:w="10700"/>
            <w:shd w:fill="EEF1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custom-10043 (/csproduct/product_gallery/upload) accepts only (?i)\.jpe?g while every other rule accepts six types. Confirm intentional — outside the §3 scope but visible in the same rule group.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6"/>
          <w:szCs w:val="16"/>
        </w:rPr>
        <w:t xml:space="preserve">Prepared from b.txt and the tuning document screenshots. Figures and match logic transcribed directly from the Terraform source.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496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2026-08-05T11:33:33.932Z</dcterms:created>
  <dcterms:modified xsi:type="dcterms:W3CDTF">2026-08-05T11:33:33.932Z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