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SRIKANTH CHINTALA</w:t>
      </w:r>
    </w:p>
    <w:p>
      <w:pPr>
        <w:spacing w:after="40"/>
        <w:jc w:val="center"/>
      </w:pPr>
      <w:r>
        <w:rPr>
          <w:i/>
          <w:sz w:val="22"/>
        </w:rPr>
        <w:t>Project Manager | PMO, Finance &amp; MIS Reporting | Cross-Service-Line Change Agent</w:t>
      </w:r>
    </w:p>
    <w:p>
      <w:pPr>
        <w:spacing w:after="80"/>
        <w:jc w:val="center"/>
      </w:pPr>
      <w:r>
        <w:rPr>
          <w:sz w:val="18"/>
        </w:rPr>
        <w:t>Hyderabad, India 500088 | +91 81795 98723 | srikanthchintala191997@gmail.com | linkedin.com/in/chintalasrikanth97</w:t>
      </w:r>
    </w:p>
    <w:p>
      <w:pPr>
        <w:spacing w:before="120" w:after="40"/>
        <w:pBdr>
          <w:bottom w:val="single" w:sz="6" w:space="1" w:color="999999"/>
        </w:pBdr>
      </w:pPr>
      <w:r>
        <w:rPr>
          <w:b/>
          <w:color w:val="1F3A5F"/>
          <w:sz w:val="22"/>
        </w:rPr>
        <w:t>PROFESSIONAL SUMMARY</w:t>
      </w:r>
    </w:p>
    <w:p>
      <w:pPr>
        <w:spacing w:after="40"/>
      </w:pPr>
      <w:r>
        <w:rPr>
          <w:b w:val="0"/>
          <w:i w:val="0"/>
          <w:sz w:val="20"/>
        </w:rPr>
        <w:t>Project Manager and PMO professional with 4+ years at Deloitte (USI – Offices of the US) running end-to-end project governance, MIS reporting, and stakeholder engagement across multiple Service Lines and Business Units for UK and European clients. Built and ran the RAG/RAID, dashboard, budget-vs-actual, and leadership-MIS machinery that kept 10+ multi-stakeholder, time-zone-spanning engagements on time and audit-ready — turning messy delivery into clean, partner-ready trackers. Quantified change-agent record: 100% on-time delivery, 25% MIS-effort reduction, 15 hrs/week of follow-ups eliminated, 40% velocity lift, and 4 RFP wins. Comfortable communicating analyst-to-partner. Strong on Excel, Power BI, and PowerPoint; actively building SQL and Tableau proficiency. MBA Finance + CA Inter; immediate joiner; based in Hyderabad.</w:t>
      </w:r>
    </w:p>
    <w:p>
      <w:pPr>
        <w:spacing w:before="120" w:after="40"/>
        <w:pBdr>
          <w:bottom w:val="single" w:sz="6" w:space="1" w:color="999999"/>
        </w:pBdr>
      </w:pPr>
      <w:r>
        <w:rPr>
          <w:b/>
          <w:color w:val="1F3A5F"/>
          <w:sz w:val="22"/>
        </w:rPr>
        <w:t>CORE COMPETENCIES</w:t>
      </w:r>
    </w:p>
    <w:p>
      <w:pPr>
        <w:spacing w:after="40"/>
      </w:pPr>
      <w:r>
        <w:rPr>
          <w:b/>
          <w:sz w:val="20"/>
        </w:rPr>
        <w:t xml:space="preserve">Project Management &amp; MIS Reporting: </w:t>
      </w:r>
      <w:r>
        <w:rPr>
          <w:sz w:val="20"/>
        </w:rPr>
        <w:t>Project Management Office (PMO) | Cross-Service-Line / Multi-BU Coordination | Leadership MIS &amp; Status Reporting | RAG / RAID Frameworks | Milestone &amp; Dependency Tracking | Audit Readiness | Documentation Control</w:t>
      </w:r>
    </w:p>
    <w:p>
      <w:pPr>
        <w:spacing w:after="40"/>
      </w:pPr>
      <w:r>
        <w:rPr>
          <w:b/>
          <w:sz w:val="20"/>
        </w:rPr>
        <w:t xml:space="preserve">Finance &amp; Operations: </w:t>
      </w:r>
      <w:r>
        <w:rPr>
          <w:sz w:val="20"/>
        </w:rPr>
        <w:t>Financial Tracking | Budget vs Actual | Variance &amp; Plan-vs-Actual Analysis | Forecasting | Invoice / PO / SOW / MSA Tracking | Vendor Coordination | Operational Reviews | Process Improvement</w:t>
      </w:r>
    </w:p>
    <w:p>
      <w:pPr>
        <w:spacing w:after="40"/>
      </w:pPr>
      <w:r>
        <w:rPr>
          <w:b/>
          <w:sz w:val="20"/>
        </w:rPr>
        <w:t xml:space="preserve">Data, BI &amp; Analytics: </w:t>
      </w:r>
      <w:r>
        <w:rPr>
          <w:sz w:val="20"/>
        </w:rPr>
        <w:t>Power BI (Advanced) | Tableau (Familiar — Power BI native; equivalent semantic model &amp; visual grammar) | SQL (Active Learning) | Advanced MS Excel — Pivot Tables, XLOOKUP / INDEX-MATCH, SUMIFS, Power Query, Conditional Formatting, Data Validation, Basic Macros | AI-based Analytics Tools</w:t>
      </w:r>
    </w:p>
    <w:p>
      <w:pPr>
        <w:spacing w:after="40"/>
      </w:pPr>
      <w:r>
        <w:rPr>
          <w:b/>
          <w:sz w:val="20"/>
        </w:rPr>
        <w:t xml:space="preserve">Communication &amp; Stakeholder Engagement: </w:t>
      </w:r>
      <w:r>
        <w:rPr>
          <w:sz w:val="20"/>
        </w:rPr>
        <w:t>Analyst-to-Partner Communication | Multi-Time-Zone Coordination (UK / Europe / India) | Client SPOC | Executive &amp; Leadership Decks (PowerPoint) | Cross-functional Collaboration | Mentorship &amp; Onboarding</w:t>
      </w:r>
    </w:p>
    <w:p>
      <w:pPr>
        <w:spacing w:after="40"/>
      </w:pPr>
      <w:r>
        <w:rPr>
          <w:b/>
          <w:sz w:val="20"/>
        </w:rPr>
        <w:t xml:space="preserve">Tools &amp; Platforms: </w:t>
      </w:r>
      <w:r>
        <w:rPr>
          <w:sz w:val="20"/>
        </w:rPr>
        <w:t>MS PowerPoint | MS Project | SharePoint | Jira | D-Board | Intela Workspace</w:t>
      </w:r>
    </w:p>
    <w:p>
      <w:pPr>
        <w:spacing w:before="120" w:after="40"/>
        <w:pBdr>
          <w:bottom w:val="single" w:sz="6" w:space="1" w:color="999999"/>
        </w:pBdr>
      </w:pPr>
      <w:r>
        <w:rPr>
          <w:b/>
          <w:color w:val="1F3A5F"/>
          <w:sz w:val="22"/>
        </w:rPr>
        <w:t>PROFESSIONAL EXPERIENCE</w:t>
      </w:r>
    </w:p>
    <w:p>
      <w:pPr>
        <w:spacing w:after="0"/>
      </w:pPr>
      <w:r>
        <w:rPr>
          <w:b/>
          <w:sz w:val="22"/>
        </w:rPr>
        <w:t>Deloitte (USI – Offices of the US)</w:t>
      </w:r>
      <w:r>
        <w:rPr>
          <w:sz w:val="20"/>
        </w:rPr>
        <w:t xml:space="preserve">  |  Hyderabad, India</w:t>
      </w:r>
    </w:p>
    <w:p>
      <w:pPr>
        <w:spacing w:after="40"/>
      </w:pPr>
      <w:r>
        <w:rPr>
          <w:b/>
          <w:i/>
          <w:sz w:val="20"/>
        </w:rPr>
        <w:t>PMO Tax Consultant II</w:t>
      </w:r>
      <w:r>
        <w:rPr>
          <w:i/>
          <w:sz w:val="20"/>
        </w:rPr>
        <w:t xml:space="preserve">    April 2023 – April 2025</w:t>
      </w:r>
    </w:p>
    <w:p>
      <w:pPr>
        <w:pStyle w:val="ListBullet"/>
        <w:spacing w:after="40"/>
        <w:ind w:left="288"/>
      </w:pPr>
      <w:r>
        <w:rPr>
          <w:sz w:val="20"/>
        </w:rPr>
        <w:t>Led end-to-end PMO and project management for 10+ UK and European client engagements across multiple Service Lines (direct, indirect, statutory) — using RAG/RAID frameworks, milestone trackers, and budget-vs-actual reporting — achieved 100% on-time delivery in a fast-paced, multi-workstream environment.</w:t>
      </w:r>
    </w:p>
    <w:p>
      <w:pPr>
        <w:pStyle w:val="ListBullet"/>
        <w:spacing w:after="40"/>
        <w:ind w:left="288"/>
      </w:pPr>
      <w:r>
        <w:rPr>
          <w:sz w:val="20"/>
        </w:rPr>
        <w:t>Standardized MIS reporting, status, and dashboard templates on SharePoint + Power BI for senior leadership — cut MIS preparation effort 20–25%, shortened review cycles by 2 days/week, and gave partners single-pane visibility across the engagement portfolio.</w:t>
      </w:r>
    </w:p>
    <w:p>
      <w:pPr>
        <w:pStyle w:val="ListBullet"/>
        <w:spacing w:after="40"/>
        <w:ind w:left="288"/>
      </w:pPr>
      <w:r>
        <w:rPr>
          <w:sz w:val="20"/>
        </w:rPr>
        <w:t>Coordinated 30+ delivery resources across 4 offices on a centralized tracker, running daily follow-ups on action items, approvals, and stakeholder requests — eliminated 15 hrs/week of manual chase and lifted execution velocity by 40% across time zones.</w:t>
      </w:r>
    </w:p>
    <w:p>
      <w:pPr>
        <w:pStyle w:val="ListBullet"/>
        <w:spacing w:after="40"/>
        <w:ind w:left="288"/>
      </w:pPr>
      <w:r>
        <w:rPr>
          <w:sz w:val="20"/>
        </w:rPr>
        <w:t>Owned invoice, PO, SOW, and MSA tracking and reconciliation for the engagement portfolio — flagged variances, drove resolution with finance and procurement, and kept Service Lines aligned to monthly close.</w:t>
      </w:r>
    </w:p>
    <w:p>
      <w:pPr>
        <w:pStyle w:val="ListBullet"/>
        <w:spacing w:after="40"/>
        <w:ind w:left="288"/>
      </w:pPr>
      <w:r>
        <w:rPr>
          <w:sz w:val="20"/>
        </w:rPr>
        <w:t>Championed AI-based analytics adoption to monitor compliance and risk signals, surface anomalies, and accelerate leadership decisions — improved anomaly-detection accuracy by 25% and decision turnaround by 20%; positioned as a thoughtful change agent within the portfolio.</w:t>
      </w:r>
    </w:p>
    <w:p>
      <w:pPr>
        <w:pStyle w:val="ListBullet"/>
        <w:spacing w:after="40"/>
        <w:ind w:left="288"/>
      </w:pPr>
      <w:r>
        <w:rPr>
          <w:sz w:val="20"/>
        </w:rPr>
        <w:t>Owned governance reporting — weekly status, dashboards, RAID logs, leadership decks — for senior leadership and clients across 3+ time zones; acted as single point of contact between client SMEs and Deloitte teams, adapting communication from analyst-level detail to partner-level brevity.</w:t>
      </w:r>
    </w:p>
    <w:p>
      <w:pPr>
        <w:pStyle w:val="ListBullet"/>
        <w:spacing w:after="40"/>
        <w:ind w:left="288"/>
      </w:pPr>
      <w:r>
        <w:rPr>
          <w:sz w:val="20"/>
        </w:rPr>
        <w:t>Managed documentation control (SOWs, SOPs, audit files, transition docs) on version-controlled repositories — passed 100% of internal QA audits.</w:t>
      </w:r>
    </w:p>
    <w:p>
      <w:pPr>
        <w:pStyle w:val="ListBullet"/>
        <w:spacing w:after="40"/>
        <w:ind w:left="288"/>
      </w:pPr>
      <w:r>
        <w:rPr>
          <w:sz w:val="20"/>
        </w:rPr>
        <w:t>Mentored 5+ new joiners through structured onboarding, knowledge transfers, and process handovers — reduced ramp-up time from 6 weeks to 3 weeks.</w:t>
      </w:r>
    </w:p>
    <w:p>
      <w:pPr>
        <w:spacing w:after="0"/>
      </w:pPr>
      <w:r>
        <w:rPr>
          <w:b/>
          <w:sz w:val="22"/>
        </w:rPr>
        <w:t>Deloitte (USI – Offices of the US)</w:t>
      </w:r>
      <w:r>
        <w:rPr>
          <w:sz w:val="20"/>
        </w:rPr>
        <w:t xml:space="preserve">  |  Hyderabad, India</w:t>
      </w:r>
    </w:p>
    <w:p>
      <w:pPr>
        <w:spacing w:after="40"/>
      </w:pPr>
      <w:r>
        <w:rPr>
          <w:b/>
          <w:i/>
          <w:sz w:val="20"/>
        </w:rPr>
        <w:t>PMO Tax Consultant I</w:t>
      </w:r>
      <w:r>
        <w:rPr>
          <w:i/>
          <w:sz w:val="20"/>
        </w:rPr>
        <w:t xml:space="preserve">    June 2022 – April 2023</w:t>
      </w:r>
    </w:p>
    <w:p>
      <w:pPr>
        <w:pStyle w:val="ListBullet"/>
        <w:spacing w:after="40"/>
        <w:ind w:left="288"/>
      </w:pPr>
      <w:r>
        <w:rPr>
          <w:sz w:val="20"/>
        </w:rPr>
        <w:t>Built compliance-tracking systems and onboarding playbooks for new clients, aligning project timelines with operational standards and improving client-onboarding efficiency by 30%.</w:t>
      </w:r>
    </w:p>
    <w:p>
      <w:pPr>
        <w:pStyle w:val="ListBullet"/>
        <w:spacing w:after="40"/>
        <w:ind w:left="288"/>
      </w:pPr>
      <w:r>
        <w:rPr>
          <w:sz w:val="20"/>
        </w:rPr>
        <w:t>Authored and structured RFPs for MENA and European pursuits with business development — contributed to 4 multinational client wins and 15% revenue uplift in target regions.</w:t>
      </w:r>
    </w:p>
    <w:p>
      <w:pPr>
        <w:pStyle w:val="ListBullet"/>
        <w:spacing w:after="40"/>
        <w:ind w:left="288"/>
      </w:pPr>
      <w:r>
        <w:rPr>
          <w:sz w:val="20"/>
        </w:rPr>
        <w:t>Maintained audit-ready documentation repositories (SOWs, SOPs, trackers) on SharePoint with version control — ensured 100% audit pass rate during transition phases.</w:t>
      </w:r>
    </w:p>
    <w:p>
      <w:pPr>
        <w:spacing w:after="0"/>
      </w:pPr>
      <w:r>
        <w:rPr>
          <w:b/>
          <w:sz w:val="22"/>
        </w:rPr>
        <w:t>Tooclarity (tooclarity.com)</w:t>
      </w:r>
      <w:r>
        <w:rPr>
          <w:sz w:val="20"/>
        </w:rPr>
        <w:t xml:space="preserve">  |  Hyderabad, India (travel across India)</w:t>
      </w:r>
    </w:p>
    <w:p>
      <w:pPr>
        <w:spacing w:after="40"/>
      </w:pPr>
      <w:r>
        <w:rPr>
          <w:b/>
          <w:i/>
          <w:sz w:val="20"/>
        </w:rPr>
        <w:t>Project Manager — Institutional Outreach &amp; Onboarding</w:t>
      </w:r>
      <w:r>
        <w:rPr>
          <w:i/>
          <w:sz w:val="20"/>
        </w:rPr>
        <w:t xml:space="preserve">    2025 (project engagement)</w:t>
      </w:r>
    </w:p>
    <w:p>
      <w:pPr>
        <w:pStyle w:val="ListBullet"/>
        <w:spacing w:after="40"/>
        <w:ind w:left="288"/>
      </w:pPr>
      <w:r>
        <w:rPr>
          <w:sz w:val="20"/>
        </w:rPr>
        <w:t>Partnered with the founder on go-to-market for institutional onboarding at Tooclarity, an India-based education-discovery platform — visited colleges and educational institutions in person, pitched the platform's value proposition to deans and decision-makers, and closed listing agreements (RFP-style wins at startup scale).</w:t>
      </w:r>
    </w:p>
    <w:p>
      <w:pPr>
        <w:pStyle w:val="ListBullet"/>
        <w:spacing w:after="40"/>
        <w:ind w:left="288"/>
      </w:pPr>
      <w:r>
        <w:rPr>
          <w:sz w:val="20"/>
        </w:rPr>
        <w:t>Brought PMO discipline to a founder-led environment: built and ran the outreach pipeline (prospect lists, meeting cadence, post-visit follow-ups) and a lightweight CRM for institutional commitments and renewal tracking — kept nothing slipping through the cracks in a fast-paced, multi-stakeholder setting.</w:t>
      </w:r>
    </w:p>
    <w:p>
      <w:pPr>
        <w:pStyle w:val="ListBullet"/>
        <w:spacing w:after="40"/>
        <w:ind w:left="288"/>
      </w:pPr>
      <w:r>
        <w:rPr>
          <w:sz w:val="20"/>
        </w:rPr>
        <w:t>Coordinated between founders, operations, and onboarded institutions during launch — established weekly review cadence, status updates, and a shared backlog so commitments, dependencies, and follow-ups stayed visible across the team.</w:t>
      </w:r>
    </w:p>
    <w:p>
      <w:pPr>
        <w:pStyle w:val="ListBullet"/>
        <w:spacing w:after="40"/>
        <w:ind w:left="288"/>
      </w:pPr>
      <w:r>
        <w:rPr>
          <w:sz w:val="20"/>
        </w:rPr>
        <w:t>Adapted pitch and process across diverse institution tiers and decision-making styles, building repeatable onboarding playbooks for newly partnered colleges.</w:t>
      </w:r>
    </w:p>
    <w:p>
      <w:pPr>
        <w:spacing w:after="0"/>
      </w:pPr>
      <w:r>
        <w:rPr>
          <w:b/>
          <w:sz w:val="22"/>
        </w:rPr>
        <w:t>Wells Fargo</w:t>
      </w:r>
      <w:r>
        <w:rPr>
          <w:sz w:val="20"/>
        </w:rPr>
        <w:t xml:space="preserve">  |  Hyderabad, India</w:t>
      </w:r>
    </w:p>
    <w:p>
      <w:pPr>
        <w:spacing w:after="40"/>
      </w:pPr>
      <w:r>
        <w:rPr>
          <w:b/>
          <w:i/>
          <w:sz w:val="20"/>
        </w:rPr>
        <w:t>Associate Financial Analyst</w:t>
      </w:r>
      <w:r>
        <w:rPr>
          <w:i/>
          <w:sz w:val="20"/>
        </w:rPr>
        <w:t xml:space="preserve">    November 2020 – December 2021</w:t>
      </w:r>
    </w:p>
    <w:p>
      <w:pPr>
        <w:pStyle w:val="ListBullet"/>
        <w:spacing w:after="40"/>
        <w:ind w:left="288"/>
      </w:pPr>
      <w:r>
        <w:rPr>
          <w:sz w:val="20"/>
        </w:rPr>
        <w:t>Audited credits and fee applications on debit, ACH, and cheque flows — surfaced ₹2L+/month in mis-applied fees, drove recovery through structured follow-ups with operations and compliance, and authored controls that prevented repeat occurrence.</w:t>
      </w:r>
    </w:p>
    <w:p>
      <w:pPr>
        <w:pStyle w:val="ListBullet"/>
        <w:spacing w:after="40"/>
        <w:ind w:left="288"/>
      </w:pPr>
      <w:r>
        <w:rPr>
          <w:sz w:val="20"/>
        </w:rPr>
        <w:t>Processed Visa debit-card fraud and non-fraud claims (FCM) using bank investigation tools — resolved 40+ cases/day with &gt;98% accuracy and zero compliance breaches.</w:t>
      </w:r>
    </w:p>
    <w:p>
      <w:pPr>
        <w:pStyle w:val="ListBullet"/>
        <w:spacing w:after="40"/>
        <w:ind w:left="288"/>
      </w:pPr>
      <w:r>
        <w:rPr>
          <w:sz w:val="20"/>
        </w:rPr>
        <w:t>Performed QA on ATM debit, ACH, and cheque-fraud units — strengthened financial-controls posture and feedback loops for upstream operations teams.</w:t>
      </w:r>
    </w:p>
    <w:p>
      <w:pPr>
        <w:spacing w:before="120" w:after="40"/>
        <w:pBdr>
          <w:bottom w:val="single" w:sz="6" w:space="1" w:color="999999"/>
        </w:pBdr>
      </w:pPr>
      <w:r>
        <w:rPr>
          <w:b/>
          <w:color w:val="1F3A5F"/>
          <w:sz w:val="22"/>
        </w:rPr>
        <w:t>MENTORSHIP &amp; COMMUNITY ENGAGEMENT</w:t>
      </w:r>
    </w:p>
    <w:p>
      <w:pPr>
        <w:pStyle w:val="ListBullet"/>
        <w:spacing w:after="40"/>
        <w:ind w:left="288"/>
      </w:pPr>
      <w:r>
        <w:rPr>
          <w:sz w:val="20"/>
        </w:rPr>
        <w:t>Mentored undergraduate and MBA students across Osmania University and partner colleges on the college-to-corporate transition — covered skill gaps, professional documentation, stakeholder communication, and pathways into PMO, consulting, and finance roles.</w:t>
      </w:r>
    </w:p>
    <w:p>
      <w:pPr>
        <w:pStyle w:val="ListBullet"/>
        <w:spacing w:after="40"/>
        <w:ind w:left="288"/>
      </w:pPr>
      <w:r>
        <w:rPr>
          <w:sz w:val="20"/>
        </w:rPr>
        <w:t>Ran skill-development sessions bridging classroom learning to corporate expectations — interview prep, resume craft, and basic project / stakeholder skills — preparing students with corporate-ready capabilities before campus placements.</w:t>
      </w:r>
    </w:p>
    <w:p>
      <w:pPr>
        <w:spacing w:before="120" w:after="40"/>
        <w:pBdr>
          <w:bottom w:val="single" w:sz="6" w:space="1" w:color="999999"/>
        </w:pBdr>
      </w:pPr>
      <w:r>
        <w:rPr>
          <w:b/>
          <w:color w:val="1F3A5F"/>
          <w:sz w:val="22"/>
        </w:rPr>
        <w:t>EDUCATION</w:t>
      </w:r>
    </w:p>
    <w:p>
      <w:pPr>
        <w:pStyle w:val="ListBullet"/>
        <w:spacing w:after="40"/>
        <w:ind w:left="288"/>
      </w:pPr>
      <w:r>
        <w:rPr>
          <w:sz w:val="20"/>
        </w:rPr>
        <w:t>MBA, Finance — Osmania University (2018–2020) — GPA 7.3</w:t>
      </w:r>
    </w:p>
    <w:p>
      <w:pPr>
        <w:pStyle w:val="ListBullet"/>
        <w:spacing w:after="40"/>
        <w:ind w:left="288"/>
      </w:pPr>
      <w:r>
        <w:rPr>
          <w:sz w:val="20"/>
        </w:rPr>
        <w:t>B.Com — Osmania University (2015–2018) — GPA 7.1</w:t>
      </w:r>
    </w:p>
    <w:p>
      <w:pPr>
        <w:pStyle w:val="ListBullet"/>
        <w:spacing w:after="40"/>
        <w:ind w:left="288"/>
      </w:pPr>
      <w:r>
        <w:rPr>
          <w:sz w:val="20"/>
        </w:rPr>
        <w:t>CA Intermediate — ICAI (2018)</w:t>
      </w:r>
    </w:p>
    <w:p>
      <w:pPr>
        <w:spacing w:before="120" w:after="40"/>
        <w:pBdr>
          <w:bottom w:val="single" w:sz="6" w:space="1" w:color="999999"/>
        </w:pBdr>
      </w:pPr>
      <w:r>
        <w:rPr>
          <w:b/>
          <w:color w:val="1F3A5F"/>
          <w:sz w:val="22"/>
        </w:rPr>
        <w:t>CERTIFICATIONS &amp; ACTIVE LEARNING</w:t>
      </w:r>
    </w:p>
    <w:p>
      <w:pPr>
        <w:pStyle w:val="ListBullet"/>
        <w:spacing w:after="40"/>
        <w:ind w:left="288"/>
      </w:pPr>
      <w:r>
        <w:rPr>
          <w:sz w:val="20"/>
        </w:rPr>
        <w:t>PMP Certification — In Progress (target H2 2026)</w:t>
      </w:r>
    </w:p>
    <w:p>
      <w:pPr>
        <w:pStyle w:val="ListBullet"/>
        <w:spacing w:after="40"/>
        <w:ind w:left="288"/>
      </w:pPr>
      <w:r>
        <w:rPr>
          <w:sz w:val="20"/>
        </w:rPr>
        <w:t>SQL Fundamentals — Active learning (target Q3 2026)</w:t>
      </w:r>
    </w:p>
    <w:p>
      <w:pPr>
        <w:pStyle w:val="ListBullet"/>
        <w:spacing w:after="40"/>
        <w:ind w:left="288"/>
      </w:pPr>
      <w:r>
        <w:rPr>
          <w:sz w:val="20"/>
        </w:rPr>
        <w:t>Tableau Desktop Specialist — Planned (target Q3 2026)</w:t>
      </w:r>
    </w:p>
    <w:p>
      <w:pPr>
        <w:pStyle w:val="ListBullet"/>
        <w:spacing w:after="40"/>
        <w:ind w:left="288"/>
      </w:pPr>
      <w:r>
        <w:rPr>
          <w:sz w:val="20"/>
        </w:rPr>
        <w:t>NISM (National Institute of Securities Markets): Securities Operations &amp; Risk Management; Mutual Funds Distributors; Currency Derivatives; Equity Derivatives</w:t>
      </w:r>
    </w:p>
    <w:p>
      <w:pPr>
        <w:spacing w:before="120" w:after="40"/>
        <w:pBdr>
          <w:bottom w:val="single" w:sz="6" w:space="1" w:color="999999"/>
        </w:pBdr>
      </w:pPr>
      <w:r>
        <w:rPr>
          <w:b/>
          <w:color w:val="1F3A5F"/>
          <w:sz w:val="22"/>
        </w:rPr>
        <w:t>AWARDS &amp; RECOGNITION</w:t>
      </w:r>
    </w:p>
    <w:p>
      <w:pPr>
        <w:pStyle w:val="ListBullet"/>
        <w:spacing w:after="40"/>
        <w:ind w:left="288"/>
      </w:pPr>
      <w:r>
        <w:rPr>
          <w:sz w:val="20"/>
        </w:rPr>
        <w:t>Top Performer — Recognised at Deloitte for 3 quarters (accuracy + leadership).</w:t>
      </w:r>
    </w:p>
    <w:p>
      <w:pPr>
        <w:pStyle w:val="ListBullet"/>
        <w:spacing w:after="40"/>
        <w:ind w:left="288"/>
      </w:pPr>
      <w:r>
        <w:rPr>
          <w:sz w:val="20"/>
        </w:rPr>
        <w:t>Fast-track Promotion — Promoted to Tax Consultant II within 10 months.</w:t>
      </w:r>
    </w:p>
    <w:p>
      <w:pPr>
        <w:pStyle w:val="ListBullet"/>
        <w:spacing w:after="40"/>
        <w:ind w:left="288"/>
      </w:pPr>
      <w:r>
        <w:rPr>
          <w:sz w:val="20"/>
        </w:rPr>
        <w:t>Mentor &amp; Onboarding Lead — Selected to onboard new hires and lead process handovers.</w:t>
      </w:r>
    </w:p>
    <w:p>
      <w:pPr>
        <w:spacing w:before="120" w:after="40"/>
        <w:pBdr>
          <w:bottom w:val="single" w:sz="6" w:space="1" w:color="999999"/>
        </w:pBdr>
      </w:pPr>
      <w:r>
        <w:rPr>
          <w:b/>
          <w:color w:val="1F3A5F"/>
          <w:sz w:val="22"/>
        </w:rPr>
        <w:t>ADDITIONAL</w:t>
      </w:r>
    </w:p>
    <w:p>
      <w:pPr>
        <w:pStyle w:val="ListBullet"/>
        <w:spacing w:after="40"/>
        <w:ind w:left="288"/>
      </w:pPr>
      <w:r>
        <w:rPr>
          <w:sz w:val="20"/>
        </w:rPr>
        <w:t>Languages: English, Telugu, Hindi</w:t>
      </w:r>
    </w:p>
    <w:p>
      <w:pPr>
        <w:pStyle w:val="ListBullet"/>
        <w:spacing w:after="40"/>
        <w:ind w:left="288"/>
      </w:pPr>
      <w:r>
        <w:rPr>
          <w:sz w:val="20"/>
        </w:rPr>
        <w:t>Immediate joiner</w:t>
      </w:r>
    </w:p>
    <w:p>
      <w:pPr>
        <w:pStyle w:val="ListBullet"/>
        <w:spacing w:after="40"/>
        <w:ind w:left="288"/>
      </w:pPr>
      <w:r>
        <w:rPr>
          <w:sz w:val="20"/>
        </w:rPr>
        <w:t>Open to: Hyderabad (preferred), Bangalore, Mumbai, Remote / Relocation across India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