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A5F"/>
          <w:sz w:val="36"/>
        </w:rPr>
        <w:t>SRIKANTH CHINTALA</w:t>
      </w:r>
    </w:p>
    <w:p>
      <w:pPr>
        <w:spacing w:after="40"/>
        <w:jc w:val="center"/>
      </w:pPr>
      <w:r>
        <w:rPr>
          <w:i/>
          <w:sz w:val="22"/>
        </w:rPr>
        <w:t>PMO &amp; Operations Analyst | Cost Reporting, Invoice Coordination &amp; FinOps-Aspiring</w:t>
      </w:r>
    </w:p>
    <w:p>
      <w:pPr>
        <w:spacing w:after="80"/>
        <w:jc w:val="center"/>
      </w:pPr>
      <w:r>
        <w:rPr>
          <w:sz w:val="18"/>
        </w:rPr>
        <w:t>Hyderabad, India 500088 | +91 81795 98723 | srikanthchintala191997@gmail.com | linkedin.com/in/chintalasrikanth97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PROFESSIONAL SUMMARY</w:t>
      </w:r>
    </w:p>
    <w:p>
      <w:pPr>
        <w:spacing w:after="40"/>
      </w:pPr>
      <w:r>
        <w:rPr>
          <w:b w:val="0"/>
          <w:i w:val="0"/>
          <w:sz w:val="20"/>
        </w:rPr>
        <w:t>PMO and operations professional with 4+ years at Deloitte driving end-to-end project governance, financial tracking, and reporting for global delivery engagements across UK and European clients. Built and ran the RAG/RAID, dashboard, invoice/PO/SOW tracking, and budget-vs-actual machinery that kept 10+ multi-stakeholder, time-zone-spanning engagements on time and audit-ready. Strongest in turning messy, fast-paced, SaaS-style delivery into clean, leadership-ready trackers — with a record of 100% on-time filings, 25% reporting-effort reduction, 15 hrs/week of follow-ups eliminated, and 4 RFP wins. Actively building Cloud FinOps depth (FinOps Foundation self-study, AWS CLF-C02 planned). MBA Finance + CA Inter; immediate joiner.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CORE COMPETENCIES</w:t>
      </w:r>
    </w:p>
    <w:p>
      <w:pPr>
        <w:spacing w:after="40"/>
      </w:pPr>
      <w:r>
        <w:rPr>
          <w:b/>
          <w:sz w:val="20"/>
        </w:rPr>
        <w:t xml:space="preserve">Cost Operations &amp; Reporting: </w:t>
      </w:r>
      <w:r>
        <w:rPr>
          <w:sz w:val="20"/>
        </w:rPr>
        <w:t>Invoice / PO / SOW / MSA Tracking | Vendor &amp; Billing Coordination | Cost Anomaly Detection | Variance &amp; Plan-vs-Actual Analysis | Forecasting &amp; Extrapolation | Budget Monitoring | Trackers, Dashboards &amp; Spreadsheets | Operational Reviews</w:t>
      </w:r>
    </w:p>
    <w:p>
      <w:pPr>
        <w:spacing w:after="40"/>
      </w:pPr>
      <w:r>
        <w:rPr>
          <w:b/>
          <w:sz w:val="20"/>
        </w:rPr>
        <w:t xml:space="preserve">PMO &amp; Governance: </w:t>
      </w:r>
      <w:r>
        <w:rPr>
          <w:sz w:val="20"/>
        </w:rPr>
        <w:t>Project Management Office (PMO) | Project Governance | RAG Status Reporting | RAID Log Management | Stakeholder Management | Scope, Deliverable &amp; Timeline Management | Change Request Tracking | Audit Readiness | Documentation Control</w:t>
      </w:r>
    </w:p>
    <w:p>
      <w:pPr>
        <w:spacing w:after="40"/>
      </w:pPr>
      <w:r>
        <w:rPr>
          <w:b/>
          <w:sz w:val="20"/>
        </w:rPr>
        <w:t xml:space="preserve">Project Delivery &amp; Operations: </w:t>
      </w:r>
      <w:r>
        <w:rPr>
          <w:sz w:val="20"/>
        </w:rPr>
        <w:t>Project Planning &amp; Scheduling | Resource &amp; Capacity Planning | Risk Management | Cross-functional Collaboration | Process Improvement | Agile / Waterfall | Implementation Lifecycle | Performance Metrics &amp; KPIs | Vendor Coordination | Onboarding Management</w:t>
      </w:r>
    </w:p>
    <w:p>
      <w:pPr>
        <w:spacing w:after="40"/>
      </w:pPr>
      <w:r>
        <w:rPr>
          <w:b/>
          <w:sz w:val="20"/>
        </w:rPr>
        <w:t xml:space="preserve">Tools &amp; Excel Depth: </w:t>
      </w:r>
      <w:r>
        <w:rPr>
          <w:sz w:val="20"/>
        </w:rPr>
        <w:t>Advanced MS Excel — Pivot Tables, XLOOKUP / INDEX-MATCH, SUMIFS, Power Query, Conditional Formatting, Data Validation, Basic Macros | Power BI | MS Project | MS PowerPoint | Jira | SharePoint | AI-based Analytics Tools | D-Board | Intela Workspace</w:t>
      </w:r>
    </w:p>
    <w:p>
      <w:pPr>
        <w:spacing w:after="40"/>
      </w:pPr>
      <w:r>
        <w:rPr>
          <w:b/>
          <w:sz w:val="20"/>
        </w:rPr>
        <w:t xml:space="preserve">Cloud &amp; FinOps (Active Learning): </w:t>
      </w:r>
      <w:r>
        <w:rPr>
          <w:sz w:val="20"/>
        </w:rPr>
        <w:t>Cloud Billing Concepts | FinOps Foundation — FOCUS Practitioner (self-study) | AWS Cost Explorer (familiar) | Azure Cost Management (familiar) | Cloud Cost Tagging &amp; Allocation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PROFESSIONAL EXPERIENCE</w:t>
      </w:r>
    </w:p>
    <w:p>
      <w:pPr>
        <w:spacing w:after="0"/>
      </w:pPr>
      <w:r>
        <w:rPr>
          <w:b/>
          <w:sz w:val="22"/>
        </w:rPr>
        <w:t>Deloitte (USI – Offices of the US)</w:t>
      </w:r>
      <w:r>
        <w:rPr>
          <w:sz w:val="20"/>
        </w:rPr>
        <w:t xml:space="preserve">  |  Hyderabad, India</w:t>
      </w:r>
    </w:p>
    <w:p>
      <w:pPr>
        <w:spacing w:after="40"/>
      </w:pPr>
      <w:r>
        <w:rPr>
          <w:b/>
          <w:i/>
          <w:sz w:val="20"/>
        </w:rPr>
        <w:t>PMO Tax Consultant II</w:t>
      </w:r>
      <w:r>
        <w:rPr>
          <w:i/>
          <w:sz w:val="20"/>
        </w:rPr>
        <w:t xml:space="preserve">    April 2023 – April 2025</w:t>
      </w:r>
    </w:p>
    <w:p>
      <w:pPr>
        <w:pStyle w:val="ListBullet"/>
        <w:spacing w:after="40"/>
        <w:ind w:left="288"/>
      </w:pPr>
      <w:r>
        <w:rPr>
          <w:sz w:val="20"/>
        </w:rPr>
        <w:t>Led end-to-end PMO governance for 10+ UK and European client engagements using RAG/RAID frameworks, milestone trackers, and budget-vs-actual reporting — achieved 100% on-time delivery across direct, indirect, and statutory streams in a fast-paced, multi-workstream environment.</w:t>
      </w:r>
    </w:p>
    <w:p>
      <w:pPr>
        <w:pStyle w:val="ListBullet"/>
        <w:spacing w:after="40"/>
        <w:ind w:left="288"/>
      </w:pPr>
      <w:r>
        <w:rPr>
          <w:sz w:val="20"/>
        </w:rPr>
        <w:t>Standardized cost-tracking, status, and reporting templates on SharePoint + Power BI dashboards — cut reporting effort 20–25%, shortened leadership review cycles by 2 days/week, and gave executives single-pane visibility across all engagements.</w:t>
      </w:r>
    </w:p>
    <w:p>
      <w:pPr>
        <w:pStyle w:val="ListBullet"/>
        <w:spacing w:after="40"/>
        <w:ind w:left="288"/>
      </w:pPr>
      <w:r>
        <w:rPr>
          <w:sz w:val="20"/>
        </w:rPr>
        <w:t>Coordinated 30+ delivery resources across 4 offices on a centralized tracker, running daily follow-ups on action items, invoices, approvals, and stakeholder requests — eliminated 15 hrs/week of manual chase and lifted execution velocity by 40% across time zones.</w:t>
      </w:r>
    </w:p>
    <w:p>
      <w:pPr>
        <w:pStyle w:val="ListBullet"/>
        <w:spacing w:after="40"/>
        <w:ind w:left="288"/>
      </w:pPr>
      <w:r>
        <w:rPr>
          <w:sz w:val="20"/>
        </w:rPr>
        <w:t>Owned invoice, PO, SOW, and MSA tracking for the engagement portfolio — reconciled vendor and internal billing data weekly, flagged variances, and drove resolution with finance and procurement before month-end close.</w:t>
      </w:r>
    </w:p>
    <w:p>
      <w:pPr>
        <w:pStyle w:val="ListBullet"/>
        <w:spacing w:after="40"/>
        <w:ind w:left="288"/>
      </w:pPr>
      <w:r>
        <w:rPr>
          <w:sz w:val="20"/>
        </w:rPr>
        <w:t>Deployed AI-based analytics tools to monitor compliance and cost-risk signals and generate leadership insights — improved anomaly-detection accuracy by 25% and decision turnaround by 20%.</w:t>
      </w:r>
    </w:p>
    <w:p>
      <w:pPr>
        <w:pStyle w:val="ListBullet"/>
        <w:spacing w:after="40"/>
        <w:ind w:left="288"/>
      </w:pPr>
      <w:r>
        <w:rPr>
          <w:sz w:val="20"/>
        </w:rPr>
        <w:t>Owned governance reporting — weekly status, dashboards, RAID logs — for senior leadership and clients across 3+ time zones, acting as single point of contact between client SMEs and Deloitte teams.</w:t>
      </w:r>
    </w:p>
    <w:p>
      <w:pPr>
        <w:pStyle w:val="ListBullet"/>
        <w:spacing w:after="40"/>
        <w:ind w:left="288"/>
      </w:pPr>
      <w:r>
        <w:rPr>
          <w:sz w:val="20"/>
        </w:rPr>
        <w:t>Managed documentation control (SOWs, SOPs, audit files, transition docs) on version-controlled repositories — passed 100% of internal QA audits.</w:t>
      </w:r>
    </w:p>
    <w:p>
      <w:pPr>
        <w:pStyle w:val="ListBullet"/>
        <w:spacing w:after="40"/>
        <w:ind w:left="288"/>
      </w:pPr>
      <w:r>
        <w:rPr>
          <w:sz w:val="20"/>
        </w:rPr>
        <w:t>Mentored 5+ new joiners through structured onboarding, knowledge transfers, and process handovers — reduced ramp-up time from 6 weeks to 3 weeks.</w:t>
      </w:r>
    </w:p>
    <w:p>
      <w:pPr>
        <w:spacing w:after="0"/>
      </w:pPr>
      <w:r>
        <w:rPr>
          <w:b/>
          <w:sz w:val="22"/>
        </w:rPr>
        <w:t>Deloitte (USI – Offices of the US)</w:t>
      </w:r>
      <w:r>
        <w:rPr>
          <w:sz w:val="20"/>
        </w:rPr>
        <w:t xml:space="preserve">  |  Hyderabad, India</w:t>
      </w:r>
    </w:p>
    <w:p>
      <w:pPr>
        <w:spacing w:after="40"/>
      </w:pPr>
      <w:r>
        <w:rPr>
          <w:b/>
          <w:i/>
          <w:sz w:val="20"/>
        </w:rPr>
        <w:t>PMO Tax Consultant I</w:t>
      </w:r>
      <w:r>
        <w:rPr>
          <w:i/>
          <w:sz w:val="20"/>
        </w:rPr>
        <w:t xml:space="preserve">    June 2022 – April 2023</w:t>
      </w:r>
    </w:p>
    <w:p>
      <w:pPr>
        <w:pStyle w:val="ListBullet"/>
        <w:spacing w:after="40"/>
        <w:ind w:left="288"/>
      </w:pPr>
      <w:r>
        <w:rPr>
          <w:sz w:val="20"/>
        </w:rPr>
        <w:t>Built compliance-tracking systems and onboarding playbooks for new clients, aligning project timelines with operational standards and improving client-onboarding efficiency by 30%.</w:t>
      </w:r>
    </w:p>
    <w:p>
      <w:pPr>
        <w:pStyle w:val="ListBullet"/>
        <w:spacing w:after="40"/>
        <w:ind w:left="288"/>
      </w:pPr>
      <w:r>
        <w:rPr>
          <w:sz w:val="20"/>
        </w:rPr>
        <w:t>Authored and structured RFPs for MENA and European pursuits with business development — contributed to 4 multinational client wins and 15% revenue uplift in target regions.</w:t>
      </w:r>
    </w:p>
    <w:p>
      <w:pPr>
        <w:pStyle w:val="ListBullet"/>
        <w:spacing w:after="40"/>
        <w:ind w:left="288"/>
      </w:pPr>
      <w:r>
        <w:rPr>
          <w:sz w:val="20"/>
        </w:rPr>
        <w:t>Maintained audit-ready documentation repositories (SOWs, SOPs, trackers) on SharePoint with version control — ensured 100% audit pass rate during transition phases.</w:t>
      </w:r>
    </w:p>
    <w:p>
      <w:pPr>
        <w:spacing w:after="0"/>
      </w:pPr>
      <w:r>
        <w:rPr>
          <w:b/>
          <w:sz w:val="22"/>
        </w:rPr>
        <w:t>Wells Fargo</w:t>
      </w:r>
      <w:r>
        <w:rPr>
          <w:sz w:val="20"/>
        </w:rPr>
        <w:t xml:space="preserve">  |  Hyderabad, India</w:t>
      </w:r>
    </w:p>
    <w:p>
      <w:pPr>
        <w:spacing w:after="40"/>
      </w:pPr>
      <w:r>
        <w:rPr>
          <w:b/>
          <w:i/>
          <w:sz w:val="20"/>
        </w:rPr>
        <w:t>Associate Financial Analyst</w:t>
      </w:r>
      <w:r>
        <w:rPr>
          <w:i/>
          <w:sz w:val="20"/>
        </w:rPr>
        <w:t xml:space="preserve">    November 2020 – December 2021</w:t>
      </w:r>
    </w:p>
    <w:p>
      <w:pPr>
        <w:pStyle w:val="ListBullet"/>
        <w:spacing w:after="40"/>
        <w:ind w:left="288"/>
      </w:pPr>
      <w:r>
        <w:rPr>
          <w:sz w:val="20"/>
        </w:rPr>
        <w:t>Audited credits and fee applications on debit, ACH, and cheque flows — surfaced ₹2L+/month in cost anomalies and mis-applied fees, drove recovery through structured follow-ups with operations and compliance, and authored controls that prevented repeat occurrence.</w:t>
      </w:r>
    </w:p>
    <w:p>
      <w:pPr>
        <w:pStyle w:val="ListBullet"/>
        <w:spacing w:after="40"/>
        <w:ind w:left="288"/>
      </w:pPr>
      <w:r>
        <w:rPr>
          <w:sz w:val="20"/>
        </w:rPr>
        <w:t>Processed Visa debit-card fraud and non-fraud claims (FCM) using bank investigation tools — resolved 40+ cases/day with &gt;98% accuracy and zero compliance breaches.</w:t>
      </w:r>
    </w:p>
    <w:p>
      <w:pPr>
        <w:pStyle w:val="ListBullet"/>
        <w:spacing w:after="40"/>
        <w:ind w:left="288"/>
      </w:pPr>
      <w:r>
        <w:rPr>
          <w:sz w:val="20"/>
        </w:rPr>
        <w:t>Performed QA on ATM debit, ACH, and cheque-fraud units — strengthened financial-controls posture and feedback loops for upstream operations teams.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EDUCATION</w:t>
      </w:r>
    </w:p>
    <w:p>
      <w:pPr>
        <w:pStyle w:val="ListBullet"/>
        <w:spacing w:after="40"/>
        <w:ind w:left="288"/>
      </w:pPr>
      <w:r>
        <w:rPr>
          <w:sz w:val="20"/>
        </w:rPr>
        <w:t>MBA, Finance — Osmania University (2018–2020) — GPA 7.3</w:t>
      </w:r>
    </w:p>
    <w:p>
      <w:pPr>
        <w:pStyle w:val="ListBullet"/>
        <w:spacing w:after="40"/>
        <w:ind w:left="288"/>
      </w:pPr>
      <w:r>
        <w:rPr>
          <w:sz w:val="20"/>
        </w:rPr>
        <w:t>B.Com — Osmania University (2015–2018) — GPA 7.1</w:t>
      </w:r>
    </w:p>
    <w:p>
      <w:pPr>
        <w:pStyle w:val="ListBullet"/>
        <w:spacing w:after="40"/>
        <w:ind w:left="288"/>
      </w:pPr>
      <w:r>
        <w:rPr>
          <w:sz w:val="20"/>
        </w:rPr>
        <w:t>CA Intermediate — ICAI (2018)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CERTIFICATIONS &amp; ACTIVE LEARNING</w:t>
      </w:r>
    </w:p>
    <w:p>
      <w:pPr>
        <w:pStyle w:val="ListBullet"/>
        <w:spacing w:after="40"/>
        <w:ind w:left="288"/>
      </w:pPr>
      <w:r>
        <w:rPr>
          <w:sz w:val="20"/>
        </w:rPr>
        <w:t>PMP Certification — In Progress (target H2 2026)</w:t>
      </w:r>
    </w:p>
    <w:p>
      <w:pPr>
        <w:pStyle w:val="ListBullet"/>
        <w:spacing w:after="40"/>
        <w:ind w:left="288"/>
      </w:pPr>
      <w:r>
        <w:rPr>
          <w:sz w:val="20"/>
        </w:rPr>
        <w:t>FinOps Foundation FOCUS Practitioner — Self-study (target Q3 2026)</w:t>
      </w:r>
    </w:p>
    <w:p>
      <w:pPr>
        <w:pStyle w:val="ListBullet"/>
        <w:spacing w:after="40"/>
        <w:ind w:left="288"/>
      </w:pPr>
      <w:r>
        <w:rPr>
          <w:sz w:val="20"/>
        </w:rPr>
        <w:t>AWS Cloud Practitioner (CLF-C02) — Planned (target Q3 2026)</w:t>
      </w:r>
    </w:p>
    <w:p>
      <w:pPr>
        <w:pStyle w:val="ListBullet"/>
        <w:spacing w:after="40"/>
        <w:ind w:left="288"/>
      </w:pPr>
      <w:r>
        <w:rPr>
          <w:sz w:val="20"/>
        </w:rPr>
        <w:t>NISM (National Institute of Securities Markets): Securities Operations &amp; Risk Management; Mutual Funds Distributors; Currency Derivatives; Equity Derivatives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AWARDS &amp; RECOGNITION</w:t>
      </w:r>
    </w:p>
    <w:p>
      <w:pPr>
        <w:pStyle w:val="ListBullet"/>
        <w:spacing w:after="40"/>
        <w:ind w:left="288"/>
      </w:pPr>
      <w:r>
        <w:rPr>
          <w:sz w:val="20"/>
        </w:rPr>
        <w:t>Top Performer — Recognized at Deloitte for 3 quarters (accuracy + leadership).</w:t>
      </w:r>
    </w:p>
    <w:p>
      <w:pPr>
        <w:pStyle w:val="ListBullet"/>
        <w:spacing w:after="40"/>
        <w:ind w:left="288"/>
      </w:pPr>
      <w:r>
        <w:rPr>
          <w:sz w:val="20"/>
        </w:rPr>
        <w:t>Fast-track Promotion — Promoted to Tax Consultant II within 10 months.</w:t>
      </w:r>
    </w:p>
    <w:p>
      <w:pPr>
        <w:pStyle w:val="ListBullet"/>
        <w:spacing w:after="40"/>
        <w:ind w:left="288"/>
      </w:pPr>
      <w:r>
        <w:rPr>
          <w:sz w:val="20"/>
        </w:rPr>
        <w:t>Mentor &amp; Onboarding Lead — Selected to onboard new hires and lead process handovers.</w:t>
      </w:r>
    </w:p>
    <w:p>
      <w:pPr>
        <w:spacing w:before="120" w:after="40"/>
        <w:pBdr>
          <w:bottom w:val="single" w:sz="6" w:space="1" w:color="999999"/>
        </w:pBdr>
      </w:pPr>
      <w:r>
        <w:rPr>
          <w:b/>
          <w:color w:val="1F3A5F"/>
          <w:sz w:val="22"/>
        </w:rPr>
        <w:t>ADDITIONAL</w:t>
      </w:r>
    </w:p>
    <w:p>
      <w:pPr>
        <w:pStyle w:val="ListBullet"/>
        <w:spacing w:after="40"/>
        <w:ind w:left="288"/>
      </w:pPr>
      <w:r>
        <w:rPr>
          <w:sz w:val="20"/>
        </w:rPr>
        <w:t>Languages: English, Telugu, Hindi</w:t>
      </w:r>
    </w:p>
    <w:p>
      <w:pPr>
        <w:pStyle w:val="ListBullet"/>
        <w:spacing w:after="40"/>
        <w:ind w:left="288"/>
      </w:pPr>
      <w:r>
        <w:rPr>
          <w:sz w:val="20"/>
        </w:rPr>
        <w:t>Immediate joiner</w:t>
      </w:r>
    </w:p>
    <w:p>
      <w:pPr>
        <w:pStyle w:val="ListBullet"/>
        <w:spacing w:after="40"/>
        <w:ind w:left="288"/>
      </w:pPr>
      <w:r>
        <w:rPr>
          <w:sz w:val="20"/>
        </w:rPr>
        <w:t>Open to: Hyderabad, Bangalore, Mumbai, Remote / Relocation across India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