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B3666"/>
          <w:sz w:val="40"/>
        </w:rPr>
        <w:t>SRIKANTH CHINTALA</w:t>
      </w:r>
    </w:p>
    <w:p>
      <w:pPr>
        <w:spacing w:after="40"/>
        <w:jc w:val="center"/>
      </w:pPr>
      <w:r>
        <w:rPr>
          <w:b/>
          <w:color w:val="555555"/>
          <w:sz w:val="22"/>
        </w:rPr>
        <w:t>PMO Analyst | Global Compliance &amp; Project Governance</w:t>
      </w:r>
    </w:p>
    <w:p>
      <w:pPr>
        <w:spacing w:after="40"/>
        <w:jc w:val="center"/>
      </w:pPr>
      <w:r>
        <w:rPr>
          <w:color w:val="555555"/>
          <w:sz w:val="20"/>
        </w:rPr>
        <w:t>Hyderabad, India 500088  |  +91 81795 98723  |  srikanthchintala191997@gmail.com</w:t>
      </w:r>
    </w:p>
    <w:p>
      <w:pPr>
        <w:spacing w:after="40"/>
        <w:jc w:val="center"/>
        <w:pBdr>
          <w:bottom w:val="single" w:sz="8" w:space="1" w:color="0B3666"/>
        </w:pBdr>
      </w:pPr>
      <w:r>
        <w:rPr>
          <w:color w:val="555555"/>
          <w:sz w:val="20"/>
        </w:rPr>
        <w:t>linkedin.com/in/chintalasrikanth97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PROFESSIONAL SUMMARY</w:t>
      </w:r>
    </w:p>
    <w:p>
      <w:pPr>
        <w:spacing w:before="0" w:after="80"/>
      </w:pPr>
      <w:r>
        <w:rPr>
          <w:b w:val="0"/>
          <w:i w:val="0"/>
          <w:color w:val="101010"/>
          <w:sz w:val="21"/>
        </w:rPr>
        <w:t>PMO professional with 4+ years at Deloitte driving end-to-end project governance for global tax compliance engagements across UK and European clients. Built and ran the RAG/RAID, dashboard, and financial-tracking machinery that kept 10+ multinational engagements on time and audit-ready. Strongest in turning messy multi-jurisdiction projects into clean, leadership-ready trackers — with a record of 100% on-time filings, 25% reporting-effort reduction, and 4 RFP wins. MBA Finance + CA Inter; immediate joiner.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CORE COMPETENCIES</w:t>
      </w:r>
    </w:p>
    <w:p>
      <w:pPr>
        <w:spacing w:after="40"/>
      </w:pPr>
      <w:r>
        <w:rPr>
          <w:b/>
          <w:sz w:val="21"/>
        </w:rPr>
        <w:t xml:space="preserve">PMO &amp; Governance: </w:t>
      </w:r>
      <w:r>
        <w:rPr>
          <w:sz w:val="21"/>
        </w:rPr>
        <w:t>Project Management Office (PMO) | Project Governance | RAG Status Reporting | RAID Log Management | Stakeholder Management | Scope, Deliverable &amp; Timeline Management | Change Request Tracking | Audit Readiness</w:t>
      </w:r>
    </w:p>
    <w:p>
      <w:pPr>
        <w:spacing w:after="40"/>
      </w:pPr>
      <w:r>
        <w:rPr>
          <w:b/>
          <w:sz w:val="21"/>
        </w:rPr>
        <w:t xml:space="preserve">Financial &amp; Operational: </w:t>
      </w:r>
      <w:r>
        <w:rPr>
          <w:sz w:val="21"/>
        </w:rPr>
        <w:t>Budget Monitoring | Cost &amp; Variance Analysis | Plan vs. Actual Reporting | Invoice / PO / SOW / MSA Tracking | Engagement Financial Management | Effort Forecasting</w:t>
      </w:r>
    </w:p>
    <w:p>
      <w:pPr>
        <w:spacing w:after="40"/>
      </w:pPr>
      <w:r>
        <w:rPr>
          <w:b/>
          <w:sz w:val="21"/>
        </w:rPr>
        <w:t xml:space="preserve">Project Delivery: </w:t>
      </w:r>
      <w:r>
        <w:rPr>
          <w:sz w:val="21"/>
        </w:rPr>
        <w:t>Project Planning &amp; Scheduling | Resource &amp; Capacity Planning | Risk Management | Cross-functional Collaboration | Process Improvement | Performance Metrics &amp; KPIs | Documentation Control | Vendor Coordination</w:t>
      </w:r>
    </w:p>
    <w:p>
      <w:pPr>
        <w:spacing w:after="40"/>
      </w:pPr>
      <w:r>
        <w:rPr>
          <w:b/>
          <w:sz w:val="21"/>
        </w:rPr>
        <w:t xml:space="preserve">Tools: </w:t>
      </w:r>
      <w:r>
        <w:rPr>
          <w:sz w:val="21"/>
        </w:rPr>
        <w:t>MS Excel (Advanced) | Power BI | MS Project | MS PowerPoint | Jira | SharePoint | D-Board | Intela Workspace | AI-based Analytics Tools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PROFESSIONAL EXPERIENCE</w:t>
      </w:r>
    </w:p>
    <w:p>
      <w:pPr>
        <w:spacing w:after="0"/>
      </w:pPr>
      <w:r>
        <w:rPr>
          <w:b/>
          <w:color w:val="0B3666"/>
          <w:sz w:val="22"/>
        </w:rPr>
        <w:t>Deloitte (USI – Offices of the US)</w:t>
      </w:r>
      <w:r>
        <w:rPr>
          <w:sz w:val="20"/>
        </w:rPr>
        <w:t xml:space="preserve">   |   Hyderabad, India</w:t>
      </w:r>
    </w:p>
    <w:p>
      <w:pPr>
        <w:spacing w:after="40"/>
      </w:pPr>
      <w:r>
        <w:rPr>
          <w:b/>
          <w:sz w:val="21"/>
        </w:rPr>
        <w:t>PMO Tax Consultant II</w:t>
      </w:r>
      <w:r>
        <w:rPr>
          <w:i/>
          <w:color w:val="555555"/>
          <w:sz w:val="20"/>
        </w:rPr>
        <w:t xml:space="preserve">    April 2023 – April 2025</w:t>
      </w:r>
    </w:p>
    <w:p>
      <w:pPr>
        <w:pStyle w:val="ListBullet"/>
        <w:spacing w:after="40"/>
        <w:ind w:left="283"/>
      </w:pPr>
      <w:r>
        <w:t>Led end-to-end PMO governance for tax transitions across 10+ UK &amp; European clients using RAG/RAID frameworks and milestone trackers, achieving 100% on-time filing across direct, indirect, and statutory streams.</w:t>
      </w:r>
    </w:p>
    <w:p>
      <w:pPr>
        <w:pStyle w:val="ListBullet"/>
        <w:spacing w:after="40"/>
        <w:ind w:left="283"/>
      </w:pPr>
      <w:r>
        <w:t>Standardized reporting templates and workflows on SharePoint + Power BI, cutting reporting effort by 20–25% and shortening leadership review cycles by ~2 days/week.</w:t>
      </w:r>
    </w:p>
    <w:p>
      <w:pPr>
        <w:pStyle w:val="ListBullet"/>
        <w:spacing w:after="40"/>
        <w:ind w:left="283"/>
      </w:pPr>
      <w:r>
        <w:t>Coordinated resource planning and milestone tracking for 30+ delivery resources across 4 Deloitte offices, eliminating ~15 hrs/week of manual follow-ups via a centralized task-tracking system.</w:t>
      </w:r>
    </w:p>
    <w:p>
      <w:pPr>
        <w:pStyle w:val="ListBullet"/>
        <w:spacing w:after="40"/>
        <w:ind w:left="283"/>
      </w:pPr>
      <w:r>
        <w:t>Deployed AI-based analytics tools to monitor compliance-risk signals and generate leadership insights, improving risk-detection accuracy by ~25% and decision turnaround by 20%.</w:t>
      </w:r>
    </w:p>
    <w:p>
      <w:pPr>
        <w:pStyle w:val="ListBullet"/>
        <w:spacing w:after="40"/>
        <w:ind w:left="283"/>
      </w:pPr>
      <w:r>
        <w:t>Owned governance reporting (weekly status, dashboards, RAID logs) for senior leadership and clients, acting as single point of contact between client SMEs and Deloitte local teams across 3+ time zones.</w:t>
      </w:r>
    </w:p>
    <w:p>
      <w:pPr>
        <w:pStyle w:val="ListBullet"/>
        <w:spacing w:after="40"/>
        <w:ind w:left="283"/>
      </w:pPr>
      <w:r>
        <w:t>Managed full documentation control – SOWs, SOPs, audit files, transition docs – establishing version-controlled repositories that passed 100% of internal QA audits.</w:t>
      </w:r>
    </w:p>
    <w:p>
      <w:pPr>
        <w:pStyle w:val="ListBullet"/>
        <w:spacing w:after="40"/>
        <w:ind w:left="283"/>
      </w:pPr>
      <w:r>
        <w:t>Mentored 5+ new joiners through structured onboarding, knowledge transfers, and process handovers, reducing ramp-up time from 6 weeks to ~3 weeks.</w:t>
      </w:r>
    </w:p>
    <w:p>
      <w:pPr>
        <w:spacing w:before="80" w:after="40"/>
      </w:pPr>
      <w:r>
        <w:rPr>
          <w:b/>
          <w:sz w:val="21"/>
        </w:rPr>
        <w:t>PMO Tax Consultant I</w:t>
      </w:r>
      <w:r>
        <w:rPr>
          <w:i/>
          <w:color w:val="555555"/>
          <w:sz w:val="20"/>
        </w:rPr>
        <w:t xml:space="preserve">    June 2022 – April 2023</w:t>
      </w:r>
    </w:p>
    <w:p>
      <w:pPr>
        <w:pStyle w:val="ListBullet"/>
        <w:spacing w:after="40"/>
        <w:ind w:left="283"/>
      </w:pPr>
      <w:r>
        <w:t>Built compliance tracking systems and onboarding playbooks for new clients, aligning project timelines with operational standards and improving client-onboarding efficiency by ~30%.</w:t>
      </w:r>
    </w:p>
    <w:p>
      <w:pPr>
        <w:pStyle w:val="ListBullet"/>
        <w:spacing w:after="40"/>
        <w:ind w:left="283"/>
      </w:pPr>
      <w:r>
        <w:t>Authored and structured RFPs for MENA &amp; European pursuits with business development, contributing to 4 multinational client wins and ~15% revenue uplift in target regions.</w:t>
      </w:r>
    </w:p>
    <w:p>
      <w:pPr>
        <w:pStyle w:val="ListBullet"/>
        <w:spacing w:after="40"/>
        <w:ind w:left="283"/>
      </w:pPr>
      <w:r>
        <w:t>Maintained audit-ready documentation repositories (SOWs, SOPs, trackers) on SharePoint with version control, ensuring 100% audit pass rate during transition phases.</w:t>
      </w:r>
    </w:p>
    <w:p>
      <w:pPr>
        <w:pStyle w:val="ListBullet"/>
        <w:spacing w:after="40"/>
        <w:ind w:left="283"/>
      </w:pPr>
      <w:r>
        <w:t>Developed transition project plans and communication artifacts for new-client onboarding, reducing transition slippage from ~10 days to &lt;3 days on average.</w:t>
      </w:r>
    </w:p>
    <w:p>
      <w:pPr>
        <w:spacing w:before="120" w:after="0"/>
      </w:pPr>
      <w:r>
        <w:rPr>
          <w:b/>
          <w:color w:val="0B3666"/>
          <w:sz w:val="22"/>
        </w:rPr>
        <w:t>Wells Fargo</w:t>
      </w:r>
      <w:r>
        <w:rPr>
          <w:sz w:val="20"/>
        </w:rPr>
        <w:t xml:space="preserve">   |   Hyderabad, India</w:t>
      </w:r>
    </w:p>
    <w:p>
      <w:pPr>
        <w:spacing w:after="40"/>
      </w:pPr>
      <w:r>
        <w:rPr>
          <w:b/>
          <w:sz w:val="21"/>
        </w:rPr>
        <w:t>Associate Financial Analyst</w:t>
      </w:r>
      <w:r>
        <w:rPr>
          <w:i/>
          <w:color w:val="555555"/>
          <w:sz w:val="20"/>
        </w:rPr>
        <w:t xml:space="preserve">    November 2020 – December 2021</w:t>
      </w:r>
    </w:p>
    <w:p>
      <w:pPr>
        <w:pStyle w:val="ListBullet"/>
        <w:spacing w:after="40"/>
        <w:ind w:left="283"/>
      </w:pPr>
      <w:r>
        <w:t>Processed Visa debit-card fraud and non-fraud claims (FCM) using bank investigation tools, resolving ~40+ cases/day with &gt;98% accuracy and zero compliance breaches.</w:t>
      </w:r>
    </w:p>
    <w:p>
      <w:pPr>
        <w:pStyle w:val="ListBullet"/>
        <w:spacing w:after="40"/>
        <w:ind w:left="283"/>
      </w:pPr>
      <w:r>
        <w:t>Performed QA on ATM debit, ACH, and cheque-fraud units and audited credits/fees on customer accounts, identifying ~₹2L+/month in mis-applied fees and strengthening compliance posture.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KEY PROJECTS AT DELOITTE</w:t>
      </w:r>
    </w:p>
    <w:p>
      <w:pPr>
        <w:pStyle w:val="ListBullet"/>
        <w:spacing w:after="40"/>
        <w:ind w:left="283"/>
      </w:pPr>
      <w:r>
        <w:rPr>
          <w:b/>
        </w:rPr>
        <w:t xml:space="preserve">Global Tax Compliance Transition (UK &amp; EU): </w:t>
      </w:r>
      <w:r>
        <w:t>Led PMO for transition of 10+ multinational clients; 100% on-time filings across multi-jurisdiction direct, indirect &amp; statutory streams.</w:t>
      </w:r>
    </w:p>
    <w:p>
      <w:pPr>
        <w:pStyle w:val="ListBullet"/>
        <w:spacing w:after="40"/>
        <w:ind w:left="283"/>
      </w:pPr>
      <w:r>
        <w:rPr>
          <w:b/>
        </w:rPr>
        <w:t xml:space="preserve">AI-Driven Compliance Reporting: </w:t>
      </w:r>
      <w:r>
        <w:t>Drove evaluation and rollout of AI-analytics tools, reducing manual reporting effort by 30% and improving risk-detection accuracy by 25%.</w:t>
      </w:r>
    </w:p>
    <w:p>
      <w:pPr>
        <w:pStyle w:val="ListBullet"/>
        <w:spacing w:after="40"/>
        <w:ind w:left="283"/>
      </w:pPr>
      <w:r>
        <w:rPr>
          <w:b/>
        </w:rPr>
        <w:t xml:space="preserve">Team Task Oversight Optimization: </w:t>
      </w:r>
      <w:r>
        <w:t>Implemented task-tracking system + mentoring playbook, lifting team efficiency by 40% and cutting deliverable delays.</w:t>
      </w:r>
    </w:p>
    <w:p>
      <w:pPr>
        <w:pStyle w:val="ListBullet"/>
        <w:spacing w:after="40"/>
        <w:ind w:left="283"/>
      </w:pPr>
      <w:r>
        <w:rPr>
          <w:b/>
        </w:rPr>
        <w:t xml:space="preserve">MENA &amp; EU RFP Wins: </w:t>
      </w:r>
      <w:r>
        <w:t>Co-authored RFPs that secured 4 multinational client contracts and contributed ~15% revenue growth in targeted regions.</w:t>
      </w:r>
    </w:p>
    <w:p>
      <w:pPr>
        <w:pStyle w:val="ListBullet"/>
        <w:spacing w:after="40"/>
        <w:ind w:left="283"/>
      </w:pPr>
      <w:r>
        <w:rPr>
          <w:b/>
        </w:rPr>
        <w:t xml:space="preserve">Documentation Control Re-design: </w:t>
      </w:r>
      <w:r>
        <w:t>Restructured audit repositories on SharePoint, improving document retrieval efficiency and audit pass-rate.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EDUCATION</w:t>
      </w:r>
    </w:p>
    <w:p>
      <w:pPr>
        <w:pStyle w:val="ListBullet"/>
        <w:spacing w:after="40"/>
        <w:ind w:left="283"/>
      </w:pPr>
      <w:r>
        <w:rPr>
          <w:b/>
        </w:rPr>
        <w:t>MBA, Finance</w:t>
      </w:r>
      <w:r>
        <w:t xml:space="preserve"> — Osmania University (2018–2020) — GPA 7.3</w:t>
      </w:r>
    </w:p>
    <w:p>
      <w:pPr>
        <w:pStyle w:val="ListBullet"/>
        <w:spacing w:after="40"/>
        <w:ind w:left="283"/>
      </w:pPr>
      <w:r>
        <w:rPr>
          <w:b/>
        </w:rPr>
        <w:t>B.Com (General)</w:t>
      </w:r>
      <w:r>
        <w:t xml:space="preserve"> — Osmania University (2015–2018) — GPA 7.1</w:t>
      </w:r>
    </w:p>
    <w:p>
      <w:pPr>
        <w:pStyle w:val="ListBullet"/>
        <w:spacing w:after="40"/>
        <w:ind w:left="283"/>
      </w:pPr>
      <w:r>
        <w:rPr>
          <w:b/>
        </w:rPr>
        <w:t>CA Intermediate</w:t>
      </w:r>
      <w:r>
        <w:t xml:space="preserve"> — ICAI (2018)</w:t>
      </w:r>
    </w:p>
    <w:p>
      <w:pPr>
        <w:pStyle w:val="ListBullet"/>
        <w:spacing w:after="40"/>
        <w:ind w:left="283"/>
      </w:pPr>
      <w:r>
        <w:rPr>
          <w:b/>
        </w:rPr>
        <w:t>Higher Secondary (12th)</w:t>
      </w:r>
      <w:r>
        <w:t xml:space="preserve"> — Board of Intermediate Education, T.S. (2015) — 9.4</w:t>
      </w:r>
    </w:p>
    <w:p>
      <w:pPr>
        <w:pStyle w:val="ListBullet"/>
        <w:spacing w:after="40"/>
        <w:ind w:left="283"/>
      </w:pPr>
      <w:r>
        <w:rPr>
          <w:b/>
        </w:rPr>
        <w:t>Secondary (10th)</w:t>
      </w:r>
      <w:r>
        <w:t xml:space="preserve"> — Board of Secondary Education, T.S. (2013) — 9.2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CERTIFICATIONS</w:t>
      </w:r>
    </w:p>
    <w:p>
      <w:pPr>
        <w:pStyle w:val="ListBullet"/>
        <w:spacing w:after="40"/>
        <w:ind w:left="283"/>
      </w:pPr>
      <w:r>
        <w:t>NISM — Securities Operations &amp; Risk Management</w:t>
      </w:r>
    </w:p>
    <w:p>
      <w:pPr>
        <w:pStyle w:val="ListBullet"/>
        <w:spacing w:after="40"/>
        <w:ind w:left="283"/>
      </w:pPr>
      <w:r>
        <w:t>NISM — Mutual Funds Distributors</w:t>
      </w:r>
    </w:p>
    <w:p>
      <w:pPr>
        <w:pStyle w:val="ListBullet"/>
        <w:spacing w:after="40"/>
        <w:ind w:left="283"/>
      </w:pPr>
      <w:r>
        <w:t>NISM — Currency Derivatives</w:t>
      </w:r>
    </w:p>
    <w:p>
      <w:pPr>
        <w:pStyle w:val="ListBullet"/>
        <w:spacing w:after="40"/>
        <w:ind w:left="283"/>
      </w:pPr>
      <w:r>
        <w:t>NISM — Equity Derivatives</w:t>
      </w:r>
    </w:p>
    <w:p>
      <w:pPr>
        <w:pStyle w:val="ListBullet"/>
        <w:spacing w:after="40"/>
        <w:ind w:left="283"/>
      </w:pPr>
      <w:r>
        <w:t>PMP Certification — In Progress (target Q3 2026)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AWARDS &amp; RECOGNITION</w:t>
      </w:r>
    </w:p>
    <w:p>
      <w:pPr>
        <w:pStyle w:val="ListBullet"/>
        <w:spacing w:after="40"/>
        <w:ind w:left="283"/>
      </w:pPr>
      <w:r>
        <w:rPr>
          <w:b/>
        </w:rPr>
        <w:t xml:space="preserve">Top Performer — </w:t>
      </w:r>
      <w:r>
        <w:t>Recognized at Deloitte for 3 consecutive quarters (accuracy + leadership).</w:t>
      </w:r>
    </w:p>
    <w:p>
      <w:pPr>
        <w:pStyle w:val="ListBullet"/>
        <w:spacing w:after="40"/>
        <w:ind w:left="283"/>
      </w:pPr>
      <w:r>
        <w:rPr>
          <w:b/>
        </w:rPr>
        <w:t xml:space="preserve">Fast-track Promotion — </w:t>
      </w:r>
      <w:r>
        <w:t>Promoted to Tax Consultant II within 10 months.</w:t>
      </w:r>
    </w:p>
    <w:p>
      <w:pPr>
        <w:pStyle w:val="ListBullet"/>
        <w:spacing w:after="40"/>
        <w:ind w:left="283"/>
      </w:pPr>
      <w:r>
        <w:rPr>
          <w:b/>
        </w:rPr>
        <w:t xml:space="preserve">Mentor &amp; Onboarding Lead — </w:t>
      </w:r>
      <w:r>
        <w:t>Selected to onboard new hires and lead process handovers.</w:t>
      </w:r>
    </w:p>
    <w:p>
      <w:pPr>
        <w:spacing w:before="160" w:after="40"/>
        <w:pBdr>
          <w:bottom w:val="single" w:sz="8" w:space="1" w:color="0B3666"/>
        </w:pBdr>
      </w:pPr>
      <w:r>
        <w:rPr>
          <w:b/>
          <w:color w:val="0B3666"/>
          <w:sz w:val="24"/>
        </w:rPr>
        <w:t>ADDITIONAL</w:t>
      </w:r>
    </w:p>
    <w:p>
      <w:pPr>
        <w:pStyle w:val="ListBullet"/>
        <w:spacing w:after="40"/>
        <w:ind w:left="283"/>
      </w:pPr>
      <w:r>
        <w:rPr>
          <w:b/>
        </w:rPr>
        <w:t xml:space="preserve">Languages: </w:t>
      </w:r>
      <w:r>
        <w:t>English, Telugu, Hindi (fluent in all)</w:t>
      </w:r>
    </w:p>
    <w:p>
      <w:pPr>
        <w:pStyle w:val="ListBullet"/>
        <w:spacing w:after="40"/>
        <w:ind w:left="283"/>
      </w:pPr>
      <w:r>
        <w:rPr>
          <w:b/>
        </w:rPr>
        <w:t xml:space="preserve">Availability: </w:t>
      </w:r>
      <w:r>
        <w:t>Immediate joiner</w:t>
      </w:r>
    </w:p>
    <w:p>
      <w:pPr>
        <w:pStyle w:val="ListBullet"/>
        <w:spacing w:after="40"/>
        <w:ind w:left="283"/>
      </w:pPr>
      <w:r>
        <w:rPr>
          <w:b/>
        </w:rPr>
        <w:t xml:space="preserve">Open to: </w:t>
      </w:r>
      <w:r>
        <w:t>Hyderabad, Bangalore, Mumbai, Remote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01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