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C1FAD1E" wp14:textId="77777777">
      <w:pPr>
        <w:spacing w:after="0"/>
        <w:jc w:val="center"/>
      </w:pPr>
      <w:r w:rsidRPr="3CBF9A61" w:rsidR="3CBF9A61">
        <w:rPr>
          <w:b w:val="1"/>
          <w:bCs w:val="1"/>
          <w:color w:val="143B6E"/>
          <w:sz w:val="40"/>
          <w:szCs w:val="40"/>
        </w:rPr>
        <w:t>SRIKANTH CHINTALA</w:t>
      </w:r>
    </w:p>
    <w:p w:rsidR="0C32EBD2" w:rsidP="3CBF9A61" w:rsidRDefault="0C32EBD2" w14:paraId="06CCB65E" w14:textId="407E97FB">
      <w:pPr>
        <w:spacing w:after="0"/>
        <w:jc w:val="center"/>
      </w:pPr>
      <w:r w:rsidRPr="3CBF9A61" w:rsidR="0C32EBD2">
        <w:rPr>
          <w:i w:val="1"/>
          <w:iCs w:val="1"/>
          <w:sz w:val="22"/>
          <w:szCs w:val="22"/>
        </w:rPr>
        <w:t>PMO Analyst | Global Compliance &amp; Project Governance</w:t>
      </w:r>
    </w:p>
    <w:p xmlns:wp14="http://schemas.microsoft.com/office/word/2010/wordml" w14:paraId="040AFC42" wp14:textId="77777777">
      <w:pPr>
        <w:spacing w:after="0"/>
        <w:jc w:val="center"/>
      </w:pPr>
      <w:r>
        <w:rPr>
          <w:sz w:val="20"/>
        </w:rPr>
        <w:t>Hyderabad, India 500088 | +91 81795 98723 | srikanthchintala191997@gmail.com</w:t>
      </w:r>
    </w:p>
    <w:p xmlns:wp14="http://schemas.microsoft.com/office/word/2010/wordml" w14:paraId="7585FFA0" wp14:textId="77777777">
      <w:pPr>
        <w:spacing w:after="80"/>
        <w:jc w:val="center"/>
      </w:pPr>
      <w:r>
        <w:rPr>
          <w:sz w:val="20"/>
        </w:rPr>
        <w:t>linkedin.com/in/chintalasrikanth97</w:t>
      </w:r>
    </w:p>
    <w:p xmlns:wp14="http://schemas.microsoft.com/office/word/2010/wordml" w14:paraId="07DAC14A" wp14:textId="77777777">
      <w:pPr>
        <w:spacing w:before="160" w:after="40"/>
        <w:pBdr>
          <w:bottom w:val="single" w:color="143B6E" w:sz="6"/>
        </w:pBdr>
      </w:pPr>
      <w:r>
        <w:rPr>
          <w:b/>
          <w:color w:val="143B6E"/>
          <w:sz w:val="22"/>
        </w:rPr>
        <w:t>PROFESSIONAL SUMMARY</w:t>
      </w:r>
    </w:p>
    <w:p xmlns:wp14="http://schemas.microsoft.com/office/word/2010/wordml" w14:paraId="24A4C727" wp14:textId="77777777">
      <w:pPr>
        <w:spacing w:after="80"/>
      </w:pPr>
      <w:r>
        <w:rPr>
          <w:sz w:val="21"/>
        </w:rPr>
        <w:t>Project Coordinator with 4+ years at Deloitte delivering end-to-end consulting project governance for UK &amp; European clients across multi-cultural, multi-jurisdiction engagements. Owner of project trackers, RAID logs, client materials, and workshop coordination — kept 10+ multinational programmes on schedule with 100% on-time delivery, 25% reporting-effort reduction, and 4 multi-region RFP wins. Equally strong on stakeholder communications and process improvement; mentored 5+ joiners with structured onboarding playbooks. Passionate about people-focused, equity-driven project work and bringing PMO rigour to DEI consulting initiatives. MBA Finance + CA Inter; immediate joiner.</w:t>
      </w:r>
    </w:p>
    <w:p xmlns:wp14="http://schemas.microsoft.com/office/word/2010/wordml" w14:paraId="38BE18C1" wp14:textId="77777777">
      <w:pPr>
        <w:spacing w:before="160" w:after="40"/>
        <w:pBdr>
          <w:bottom w:val="single" w:color="143B6E" w:sz="6"/>
        </w:pBdr>
      </w:pPr>
      <w:r>
        <w:rPr>
          <w:b/>
          <w:color w:val="143B6E"/>
          <w:sz w:val="22"/>
        </w:rPr>
        <w:t>CORE COMPETENCIES</w:t>
      </w:r>
    </w:p>
    <w:p xmlns:wp14="http://schemas.microsoft.com/office/word/2010/wordml" w14:paraId="4B0535CB" wp14:textId="77777777">
      <w:pPr>
        <w:spacing w:after="40"/>
      </w:pPr>
      <w:r>
        <w:rPr>
          <w:b/>
          <w:sz w:val="21"/>
        </w:rPr>
        <w:t xml:space="preserve">Project Coordination &amp; Governance: </w:t>
      </w:r>
      <w:r>
        <w:rPr>
          <w:sz w:val="21"/>
        </w:rPr>
        <w:t>Project Coordination | Project Plans &amp; Trackers | RAG Status Reporting | RAID Log Management | Stakeholder Management &amp; Engagement | Scope, Deliverable &amp; Timeline Management | Workshop &amp; Meeting Coordination | Audit Readiness</w:t>
      </w:r>
    </w:p>
    <w:p xmlns:wp14="http://schemas.microsoft.com/office/word/2010/wordml" w14:paraId="13BB71AF" wp14:textId="77777777">
      <w:pPr>
        <w:spacing w:after="40"/>
      </w:pPr>
      <w:r>
        <w:rPr>
          <w:b/>
          <w:sz w:val="21"/>
        </w:rPr>
        <w:t xml:space="preserve">Financial &amp; Operational: </w:t>
      </w:r>
      <w:r>
        <w:rPr>
          <w:sz w:val="21"/>
        </w:rPr>
        <w:t>Budget Monitoring | Cost &amp; Variance Analysis | Plan vs. Actual Reporting | Invoice / PO / SOW / MSA Tracking | Engagement Financial Management | Effort Forecasting</w:t>
      </w:r>
    </w:p>
    <w:p xmlns:wp14="http://schemas.microsoft.com/office/word/2010/wordml" w14:paraId="4AE4803A" wp14:textId="77777777">
      <w:pPr>
        <w:spacing w:after="40"/>
      </w:pPr>
      <w:r>
        <w:rPr>
          <w:b/>
          <w:sz w:val="21"/>
        </w:rPr>
        <w:t xml:space="preserve">Project Delivery: </w:t>
      </w:r>
      <w:r>
        <w:rPr>
          <w:sz w:val="21"/>
        </w:rPr>
        <w:t>Project Planning &amp; Scheduling | Resource &amp; Capacity Planning | Risk Management | Cross-functional Collaboration | Process Improvement | Agile / Waterfall | Implementation Lifecycle | Performance Metrics &amp; KPIs | Vendor Coordination</w:t>
      </w:r>
    </w:p>
    <w:p xmlns:wp14="http://schemas.microsoft.com/office/word/2010/wordml" w14:paraId="530F80CC" wp14:textId="77777777">
      <w:pPr>
        <w:spacing w:after="40"/>
      </w:pPr>
      <w:r>
        <w:rPr>
          <w:b/>
          <w:sz w:val="21"/>
        </w:rPr>
        <w:t xml:space="preserve">Communication &amp; People: </w:t>
      </w:r>
      <w:r>
        <w:rPr>
          <w:sz w:val="21"/>
        </w:rPr>
        <w:t>Client-Facing Materials &amp; Presentations | Cross-Cultural Stakeholder Communications | Mentoring &amp; Onboarding | Cross-Functional Collaboration | Workshop Coordination | Solution-Focused Problem Solving</w:t>
      </w:r>
    </w:p>
    <w:p xmlns:wp14="http://schemas.microsoft.com/office/word/2010/wordml" w14:paraId="3B0114B2" wp14:textId="016BC3DF">
      <w:pPr>
        <w:spacing w:after="40"/>
      </w:pPr>
      <w:r w:rsidRPr="3CBF9A61" w:rsidR="3CBF9A61">
        <w:rPr>
          <w:b w:val="1"/>
          <w:bCs w:val="1"/>
          <w:sz w:val="21"/>
          <w:szCs w:val="21"/>
        </w:rPr>
        <w:t xml:space="preserve">Tools &amp; Methods: </w:t>
      </w:r>
      <w:r w:rsidRPr="3CBF9A61" w:rsidR="3CBF9A61">
        <w:rPr>
          <w:sz w:val="21"/>
          <w:szCs w:val="21"/>
        </w:rPr>
        <w:t>MS Excel (Advanced) | Power BI | MS Project | MS PowerPoint (Client Decks) | Jira | SharePoint | AI-Based Analytics Tools | D-Board | Intela Workspace | Documentation Control</w:t>
      </w:r>
    </w:p>
    <w:p xmlns:wp14="http://schemas.microsoft.com/office/word/2010/wordml" w14:paraId="168A1AEF" wp14:textId="77777777">
      <w:pPr>
        <w:spacing w:before="160" w:after="40"/>
        <w:pBdr>
          <w:bottom w:val="single" w:color="143B6E" w:sz="6"/>
        </w:pBdr>
      </w:pPr>
      <w:r>
        <w:rPr>
          <w:b/>
          <w:color w:val="143B6E"/>
          <w:sz w:val="22"/>
        </w:rPr>
        <w:t>PROFESSIONAL EXPERIENCE</w:t>
      </w:r>
    </w:p>
    <w:p xmlns:wp14="http://schemas.microsoft.com/office/word/2010/wordml" w14:paraId="72352CDB" wp14:textId="77777777">
      <w:pPr>
        <w:spacing w:before="80" w:after="0"/>
      </w:pPr>
      <w:r>
        <w:rPr>
          <w:b/>
          <w:sz w:val="22"/>
        </w:rPr>
        <w:t>Deloitte (USI – Offices of the US)  |  Hyderabad, India</w:t>
      </w:r>
    </w:p>
    <w:p xmlns:wp14="http://schemas.microsoft.com/office/word/2010/wordml" w14:paraId="61D7BF86" wp14:textId="77777777">
      <w:pPr>
        <w:spacing w:after="40"/>
      </w:pPr>
      <w:r>
        <w:rPr>
          <w:b/>
          <w:i/>
          <w:sz w:val="21"/>
        </w:rPr>
        <w:t>PMO Tax Consultant II</w:t>
      </w:r>
      <w:r>
        <w:rPr>
          <w:i/>
          <w:sz w:val="20"/>
        </w:rPr>
        <w:t xml:space="preserve">   April 2023 – April 2025</w:t>
      </w:r>
    </w:p>
    <w:p xmlns:wp14="http://schemas.microsoft.com/office/word/2010/wordml" w14:paraId="78A85245" wp14:textId="77777777">
      <w:pPr>
        <w:pStyle w:val="ListBullet"/>
        <w:spacing w:after="0"/>
      </w:pPr>
      <w:r>
        <w:rPr>
          <w:sz w:val="21"/>
        </w:rPr>
        <w:t>Coordinated end-to-end project delivery for 10+ UK &amp; European consulting engagements using RAG/RAID frameworks, milestone trackers, and SharePoint repositories — achieving 100% on-time delivery across multi-jurisdiction streams.</w:t>
      </w:r>
    </w:p>
    <w:p xmlns:wp14="http://schemas.microsoft.com/office/word/2010/wordml" w14:paraId="1074B6FB" wp14:textId="77777777">
      <w:pPr>
        <w:pStyle w:val="ListBullet"/>
        <w:spacing w:after="0"/>
      </w:pPr>
      <w:r>
        <w:rPr>
          <w:sz w:val="21"/>
        </w:rPr>
        <w:t>Standardized project plans, trackers, and reporting templates on SharePoint + Power BI, cutting reporting effort by 20–25% and shortening leadership review cycles by 2 days/week — directly improving processes and ways of working.</w:t>
      </w:r>
    </w:p>
    <w:p xmlns:wp14="http://schemas.microsoft.com/office/word/2010/wordml" w14:paraId="23E08399" wp14:textId="77777777">
      <w:pPr>
        <w:pStyle w:val="ListBullet"/>
        <w:spacing w:after="0"/>
      </w:pPr>
      <w:r>
        <w:rPr>
          <w:sz w:val="21"/>
        </w:rPr>
        <w:t>Coordinated 30+ delivery resources across 4 Deloitte offices via a centralized task-tracking system — managing multiple priorities, eliminating 15 hrs/week of manual follow-ups, and lifting cross-functional team efficiency by 40%.</w:t>
      </w:r>
    </w:p>
    <w:p xmlns:wp14="http://schemas.microsoft.com/office/word/2010/wordml" w14:paraId="3AA5D46D" wp14:textId="77777777">
      <w:pPr>
        <w:pStyle w:val="ListBullet"/>
        <w:spacing w:after="0"/>
      </w:pPr>
      <w:r>
        <w:rPr>
          <w:sz w:val="21"/>
        </w:rPr>
        <w:t>Mentored 5+ new joiners from diverse academic and regional backgrounds through structured onboarding, knowledge transfers, and process handovers — reducing ramp-up time from 6 weeks to 3 weeks and supporting an inclusive team-integration experience.</w:t>
      </w:r>
    </w:p>
    <w:p xmlns:wp14="http://schemas.microsoft.com/office/word/2010/wordml" w14:paraId="390B3A5F" wp14:textId="77777777">
      <w:pPr>
        <w:pStyle w:val="ListBullet"/>
        <w:spacing w:after="0"/>
      </w:pPr>
      <w:r>
        <w:rPr>
          <w:sz w:val="21"/>
        </w:rPr>
        <w:t>Coordinated client workshops, kickoffs, and review sessions — handling scheduling, material preparation, follow-up actions, and translating discussion points into trackable deliverables for senior stakeholders across 3+ regions.</w:t>
      </w:r>
    </w:p>
    <w:p xmlns:wp14="http://schemas.microsoft.com/office/word/2010/wordml" w14:paraId="5F21B271" wp14:textId="77777777">
      <w:pPr>
        <w:pStyle w:val="ListBullet"/>
        <w:spacing w:after="0"/>
        <w:rPr/>
      </w:pPr>
      <w:r w:rsidRPr="3CBF9A61" w:rsidR="3CBF9A61">
        <w:rPr>
          <w:sz w:val="21"/>
          <w:szCs w:val="21"/>
        </w:rPr>
        <w:t>Acted as central point of contact for project updates and internal coordination — owning weekly status reports, dashboards, and RAID logs for senior leadership and clients across 3+ time zones and multi-cultural teams, with timely, clear, and professional client communications.</w:t>
      </w:r>
    </w:p>
    <w:p xmlns:wp14="http://schemas.microsoft.com/office/word/2010/wordml" w14:paraId="02109B1E" wp14:textId="77777777">
      <w:pPr>
        <w:pStyle w:val="ListBullet"/>
        <w:spacing w:after="0"/>
      </w:pPr>
      <w:r>
        <w:rPr>
          <w:sz w:val="21"/>
        </w:rPr>
        <w:t>Managed documentation control (SOWs, SOPs, audit files, transition docs) on version-controlled repositories — passed 100% of internal QA audits.</w:t>
      </w:r>
    </w:p>
    <w:p xmlns:wp14="http://schemas.microsoft.com/office/word/2010/wordml" w14:paraId="68070D0F" wp14:textId="77777777">
      <w:pPr>
        <w:spacing w:after="40"/>
      </w:pPr>
      <w:r>
        <w:rPr>
          <w:b/>
          <w:i/>
          <w:sz w:val="21"/>
        </w:rPr>
        <w:t>PMO Tax Consultant I</w:t>
      </w:r>
      <w:r>
        <w:rPr>
          <w:i/>
          <w:sz w:val="20"/>
        </w:rPr>
        <w:t xml:space="preserve">   June 2022 – April 2023</w:t>
      </w:r>
    </w:p>
    <w:p xmlns:wp14="http://schemas.microsoft.com/office/word/2010/wordml" w14:paraId="59275C52" wp14:textId="77777777">
      <w:pPr>
        <w:pStyle w:val="ListBullet"/>
        <w:spacing w:after="0"/>
      </w:pPr>
      <w:r>
        <w:rPr>
          <w:sz w:val="21"/>
        </w:rPr>
        <w:t>Built compliance tracking systems and onboarding playbooks for new clients, aligning project timelines with operational standards and improving client-onboarding efficiency by 30%.</w:t>
      </w:r>
    </w:p>
    <w:p xmlns:wp14="http://schemas.microsoft.com/office/word/2010/wordml" w14:paraId="7DBDCDAD" wp14:textId="77777777">
      <w:pPr>
        <w:pStyle w:val="ListBullet"/>
        <w:spacing w:after="0"/>
      </w:pPr>
      <w:r>
        <w:rPr>
          <w:sz w:val="21"/>
        </w:rPr>
        <w:t>Conducted research and benchmarking for MENA &amp; European RFP pursuits — preparing client-facing materials, structured insights, and recommendations that contributed to 4 multinational client wins and 15% revenue uplift in target regions.</w:t>
      </w:r>
    </w:p>
    <w:p xmlns:wp14="http://schemas.microsoft.com/office/word/2010/wordml" w14:paraId="62B1AB33" wp14:textId="77777777">
      <w:pPr>
        <w:pStyle w:val="ListBullet"/>
        <w:spacing w:after="0"/>
      </w:pPr>
      <w:r>
        <w:rPr>
          <w:sz w:val="21"/>
        </w:rPr>
        <w:t>Maintained audit-ready documentation repositories (SOWs, SOPs, trackers) on SharePoint with version control, ensuring 100% audit pass rate during transition phases.</w:t>
      </w:r>
    </w:p>
    <w:p xmlns:wp14="http://schemas.microsoft.com/office/word/2010/wordml" w14:paraId="0096E53A" wp14:textId="77777777">
      <w:pPr>
        <w:spacing w:before="80" w:after="0"/>
      </w:pPr>
      <w:r>
        <w:rPr>
          <w:b/>
          <w:sz w:val="22"/>
        </w:rPr>
        <w:t>Wells Fargo  |  Hyderabad, India</w:t>
      </w:r>
    </w:p>
    <w:p xmlns:wp14="http://schemas.microsoft.com/office/word/2010/wordml" w14:paraId="56989C92" wp14:textId="77777777">
      <w:pPr>
        <w:spacing w:after="40"/>
      </w:pPr>
      <w:r>
        <w:rPr>
          <w:b/>
          <w:i/>
          <w:sz w:val="21"/>
        </w:rPr>
        <w:t>Associate Financial Analyst</w:t>
      </w:r>
      <w:r>
        <w:rPr>
          <w:i/>
          <w:sz w:val="20"/>
        </w:rPr>
        <w:t xml:space="preserve">   November 2020 – December 2021</w:t>
      </w:r>
    </w:p>
    <w:p xmlns:wp14="http://schemas.microsoft.com/office/word/2010/wordml" w14:paraId="51CBEBDD" wp14:textId="77777777">
      <w:pPr>
        <w:pStyle w:val="ListBullet"/>
        <w:spacing w:after="0"/>
      </w:pPr>
      <w:r>
        <w:rPr>
          <w:sz w:val="21"/>
        </w:rPr>
        <w:t>Processed Visa debit-card fraud and non-fraud claims (FCM) using bank investigation tools, resolving 40+ cases/day with &gt;98% accuracy and zero compliance breaches.</w:t>
      </w:r>
    </w:p>
    <w:p xmlns:wp14="http://schemas.microsoft.com/office/word/2010/wordml" w14:paraId="426E5302" wp14:textId="77777777">
      <w:pPr>
        <w:pStyle w:val="ListBullet"/>
        <w:spacing w:after="0"/>
      </w:pPr>
      <w:r>
        <w:rPr>
          <w:sz w:val="21"/>
        </w:rPr>
        <w:t>Performed quality reviews and audits on debit/ACH/cheque transactions and customer-account fees, identifying control gaps, strengthening compliance posture, and demonstrating attention to detail and follow-through across high-volume operational reviews.</w:t>
      </w:r>
    </w:p>
    <w:p xmlns:wp14="http://schemas.microsoft.com/office/word/2010/wordml" w14:paraId="07DEE553" wp14:textId="77777777">
      <w:pPr>
        <w:spacing w:before="160" w:after="40"/>
        <w:pBdr>
          <w:bottom w:val="single" w:color="143B6E" w:sz="6"/>
        </w:pBdr>
      </w:pPr>
      <w:r>
        <w:rPr>
          <w:b/>
          <w:color w:val="143B6E"/>
          <w:sz w:val="22"/>
        </w:rPr>
        <w:t>EDUCATION</w:t>
      </w:r>
    </w:p>
    <w:p xmlns:wp14="http://schemas.microsoft.com/office/word/2010/wordml" w14:paraId="21933415" wp14:textId="77777777">
      <w:pPr>
        <w:pStyle w:val="ListBullet"/>
        <w:spacing w:after="0"/>
      </w:pPr>
      <w:r>
        <w:rPr>
          <w:sz w:val="21"/>
        </w:rPr>
        <w:t>MBA, Finance — Osmania University (2018–2020) — GPA 7.3</w:t>
      </w:r>
    </w:p>
    <w:p xmlns:wp14="http://schemas.microsoft.com/office/word/2010/wordml" w14:paraId="3F7FEB72" wp14:textId="77777777">
      <w:pPr>
        <w:pStyle w:val="ListBullet"/>
        <w:spacing w:after="0"/>
      </w:pPr>
      <w:r>
        <w:rPr>
          <w:sz w:val="21"/>
        </w:rPr>
        <w:t>B.Com — Osmania University (2015–2018) — GPA 7.1</w:t>
      </w:r>
    </w:p>
    <w:p xmlns:wp14="http://schemas.microsoft.com/office/word/2010/wordml" w14:paraId="52E430E7" wp14:textId="77777777">
      <w:pPr>
        <w:pStyle w:val="ListBullet"/>
        <w:spacing w:after="0"/>
      </w:pPr>
      <w:r>
        <w:rPr>
          <w:sz w:val="21"/>
        </w:rPr>
        <w:t>CA Intermediate — ICAI (2018)</w:t>
      </w:r>
    </w:p>
    <w:p xmlns:wp14="http://schemas.microsoft.com/office/word/2010/wordml" w14:paraId="546917AE" wp14:textId="77777777">
      <w:pPr>
        <w:spacing w:before="160" w:after="40"/>
        <w:pBdr>
          <w:bottom w:val="single" w:color="143B6E" w:sz="6"/>
        </w:pBdr>
      </w:pPr>
      <w:r>
        <w:rPr>
          <w:b/>
          <w:color w:val="143B6E"/>
          <w:sz w:val="22"/>
        </w:rPr>
        <w:t>CERTIFICATIONS</w:t>
      </w:r>
    </w:p>
    <w:p xmlns:wp14="http://schemas.microsoft.com/office/word/2010/wordml" w14:paraId="4DAC914C" wp14:textId="77777777">
      <w:pPr>
        <w:pStyle w:val="ListBullet"/>
        <w:spacing w:after="0"/>
      </w:pPr>
      <w:r>
        <w:rPr>
          <w:sz w:val="21"/>
        </w:rPr>
        <w:t>NISM (National Institute of Securities Markets): Securities Operations &amp; Risk Management; Mutual Funds Distributors; Currency Derivatives; Equity Derivatives</w:t>
      </w:r>
    </w:p>
    <w:p xmlns:wp14="http://schemas.microsoft.com/office/word/2010/wordml" w14:paraId="55DC8EE5" wp14:textId="77777777">
      <w:pPr>
        <w:pStyle w:val="ListBullet"/>
        <w:spacing w:after="0"/>
      </w:pPr>
      <w:r>
        <w:rPr>
          <w:sz w:val="21"/>
        </w:rPr>
        <w:t>PMP Certification — In Progress (target H2 2026)</w:t>
      </w:r>
    </w:p>
    <w:p xmlns:wp14="http://schemas.microsoft.com/office/word/2010/wordml" w14:paraId="520C0DFB" wp14:textId="77777777">
      <w:pPr>
        <w:spacing w:before="160" w:after="40"/>
        <w:pBdr>
          <w:bottom w:val="single" w:color="143B6E" w:sz="6"/>
        </w:pBdr>
      </w:pPr>
      <w:r>
        <w:rPr>
          <w:b/>
          <w:color w:val="143B6E"/>
          <w:sz w:val="22"/>
        </w:rPr>
        <w:t>AWARDS &amp; RECOGNITION</w:t>
      </w:r>
    </w:p>
    <w:p xmlns:wp14="http://schemas.microsoft.com/office/word/2010/wordml" w14:paraId="30F9E6EA" wp14:textId="77777777">
      <w:pPr>
        <w:pStyle w:val="ListBullet"/>
        <w:spacing w:after="0"/>
      </w:pPr>
      <w:r>
        <w:rPr>
          <w:sz w:val="21"/>
        </w:rPr>
        <w:t>Top Performer — Recognized at Deloitte for 3 consecutive quarters (delivery accuracy + leadership presence).</w:t>
      </w:r>
    </w:p>
    <w:p xmlns:wp14="http://schemas.microsoft.com/office/word/2010/wordml" w14:paraId="493788B7" wp14:textId="77777777">
      <w:pPr>
        <w:pStyle w:val="ListBullet"/>
        <w:spacing w:after="0"/>
      </w:pPr>
      <w:r>
        <w:rPr>
          <w:sz w:val="21"/>
        </w:rPr>
        <w:t>Fast-track Promotion — Promoted to Consultant II within 10 months for consistent project-coordination excellence.</w:t>
      </w:r>
    </w:p>
    <w:p xmlns:wp14="http://schemas.microsoft.com/office/word/2010/wordml" w14:paraId="54B98405" wp14:textId="77777777">
      <w:pPr>
        <w:pStyle w:val="ListBullet"/>
        <w:spacing w:after="0"/>
      </w:pPr>
      <w:r>
        <w:rPr>
          <w:sz w:val="21"/>
        </w:rPr>
        <w:t>Mentor &amp; Onboarding Lead — Selected to onboard new joiners and lead process handovers across cross-cultural delivery teams.</w:t>
      </w:r>
    </w:p>
    <w:p xmlns:wp14="http://schemas.microsoft.com/office/word/2010/wordml" w14:paraId="4717DFAB" wp14:textId="77777777">
      <w:pPr>
        <w:spacing w:before="160" w:after="40"/>
        <w:pBdr>
          <w:bottom w:val="single" w:color="143B6E" w:sz="6"/>
        </w:pBdr>
      </w:pPr>
      <w:r>
        <w:rPr>
          <w:b/>
          <w:color w:val="143B6E"/>
          <w:sz w:val="22"/>
        </w:rPr>
        <w:t>INTERESTS &amp; CONTINUOUS LEARNING</w:t>
      </w:r>
    </w:p>
    <w:p xmlns:wp14="http://schemas.microsoft.com/office/word/2010/wordml" w14:paraId="2CC99DB9" wp14:textId="77777777">
      <w:pPr>
        <w:pStyle w:val="ListBullet"/>
        <w:spacing w:after="0"/>
      </w:pPr>
      <w:r>
        <w:rPr>
          <w:sz w:val="21"/>
        </w:rPr>
        <w:t>Diversity, Equity &amp; Inclusion: Self-driven study of DEI frameworks (APSCo Embrace, Gender Equality Charter), DE&amp;I-in-India reports (BW People, NHRDN), and emerging best-practice in cross-cultural workplace inclusion.</w:t>
      </w:r>
    </w:p>
    <w:p xmlns:wp14="http://schemas.microsoft.com/office/word/2010/wordml" w14:paraId="273F15F8" wp14:textId="77777777">
      <w:pPr>
        <w:pStyle w:val="ListBullet"/>
        <w:spacing w:after="0"/>
      </w:pPr>
      <w:r>
        <w:rPr>
          <w:sz w:val="21"/>
        </w:rPr>
        <w:t>Mentoring: Active mentor for early-career professionals from tier-2 cities transitioning into corporate consulting roles.</w:t>
      </w:r>
    </w:p>
    <w:p xmlns:wp14="http://schemas.microsoft.com/office/word/2010/wordml" w14:paraId="53630CB6" wp14:textId="77777777">
      <w:pPr>
        <w:pStyle w:val="ListBullet"/>
        <w:spacing w:after="0"/>
      </w:pPr>
      <w:r>
        <w:rPr>
          <w:sz w:val="21"/>
        </w:rPr>
        <w:t>Languages: English, Telugu, Hindi — cross-language stakeholder coordination across regional teams.</w:t>
      </w:r>
    </w:p>
    <w:p xmlns:wp14="http://schemas.microsoft.com/office/word/2010/wordml" w14:paraId="51CCB938" wp14:textId="77777777">
      <w:pPr>
        <w:spacing w:before="160" w:after="40"/>
        <w:pBdr>
          <w:bottom w:val="single" w:color="143B6E" w:sz="6"/>
        </w:pBdr>
      </w:pPr>
      <w:r>
        <w:rPr>
          <w:b/>
          <w:color w:val="143B6E"/>
          <w:sz w:val="22"/>
        </w:rPr>
        <w:t>ADDITIONAL</w:t>
      </w:r>
    </w:p>
    <w:p xmlns:wp14="http://schemas.microsoft.com/office/word/2010/wordml" w14:paraId="4FA969A7" wp14:textId="77777777">
      <w:pPr>
        <w:pStyle w:val="ListBullet"/>
        <w:spacing w:after="0"/>
      </w:pPr>
      <w:r>
        <w:rPr>
          <w:sz w:val="21"/>
        </w:rPr>
        <w:t>Availability: Immediate joiner</w:t>
      </w:r>
    </w:p>
    <w:p xmlns:wp14="http://schemas.microsoft.com/office/word/2010/wordml" w14:paraId="09F9B4D2" wp14:textId="77777777">
      <w:pPr>
        <w:pStyle w:val="ListBullet"/>
        <w:spacing w:after="0"/>
      </w:pPr>
      <w:r>
        <w:rPr>
          <w:sz w:val="21"/>
        </w:rPr>
        <w:t>Open to: Hyderabad, Bangalore, Mumbai (NES Fircroft offices) | Remote / Hybrid | Relocation across India and UK</w:t>
      </w:r>
    </w:p>
    <w:sectPr w:rsidRPr="0006063C" w:rsidR="00FC693F" w:rsidSect="00034616">
      <w:pgSz w:w="12240" w:h="15840" w:orient="portrait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B39D00"/>
    <w:rsid w:val="0C32EBD2"/>
    <w:rsid w:val="106FD719"/>
    <w:rsid w:val="3CBF9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B314F0E-6108-40C1-93EB-1E7A34EF23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Srikanth Chintala</lastModifiedBy>
  <revision>2</revision>
  <dcterms:created xsi:type="dcterms:W3CDTF">2013-12-23T23:15:00.0000000Z</dcterms:created>
  <dcterms:modified xsi:type="dcterms:W3CDTF">2026-05-25T15:09:10.0878919Z</dcterms:modified>
  <category/>
</coreProperties>
</file>