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SRIKANTH CHINTALA</w:t>
      </w:r>
    </w:p>
    <w:p>
      <w:pPr>
        <w:spacing w:after="40"/>
        <w:jc w:val="center"/>
      </w:pPr>
      <w:r>
        <w:rPr>
          <w:i/>
          <w:sz w:val="22"/>
        </w:rPr>
        <w:t>PMO &amp; Program Coordinator | Stakeholder Engagement, Mentorship &amp; DEI-Aligned Delivery</w:t>
      </w:r>
    </w:p>
    <w:p>
      <w:pPr>
        <w:spacing w:after="80"/>
        <w:jc w:val="center"/>
      </w:pPr>
      <w:r>
        <w:rPr>
          <w:sz w:val="18"/>
        </w:rPr>
        <w:t>Hyderabad, India 500088 | +91 81795 98723 | srikanthchintala191997@gmail.com | linkedin.com/in/chintalasrikanth97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40"/>
      </w:pPr>
      <w:r>
        <w:rPr>
          <w:b w:val="0"/>
          <w:i w:val="0"/>
          <w:sz w:val="20"/>
        </w:rPr>
        <w:t>Program coordinator and PMO professional with 4+ years at Deloitte running governance, reporting, and stakeholder engagement for global delivery engagements across UK and European clients — paired with hands-on startup experience driving in-person institutional outreach across India and several years of mentoring undergraduate and MBA students through college-to-corporate transitions. Strongest where program rigour meets people work: inclusive onboarding playbooks, cross-cultural stakeholder coordination, audit-ready documentation, and Power BI-backed reporting that gives leaders a single pane of visibility. Track record includes 100% on-time delivery across 10+ engagements, 25% reporting-effort reduction, 15 hrs/week of follow-ups eliminated, and onboarding ramp cut from 6 to 3 weeks. Actively building DEI program depth (APSCo Embrace, FICCI D&amp;I Charter, NHRDN and BW People India reports). MBA Finance + CA Inter; immediate joiner.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CORE COMPETENCIES</w:t>
      </w:r>
    </w:p>
    <w:p>
      <w:pPr>
        <w:spacing w:after="40"/>
      </w:pPr>
      <w:r>
        <w:rPr>
          <w:b/>
          <w:sz w:val="20"/>
        </w:rPr>
        <w:t xml:space="preserve">DEI Program Support (Active Learning): </w:t>
      </w:r>
      <w:r>
        <w:rPr>
          <w:sz w:val="20"/>
        </w:rPr>
        <w:t>Inclusive Recruitment Concepts | Employee Survey Coordination | Accessibility &amp; Reasonable Adjustments | Cross-Cultural Engagement | Inclusive Onboarding | DEI Reporting &amp; Governance</w:t>
      </w:r>
    </w:p>
    <w:p>
      <w:pPr>
        <w:spacing w:after="40"/>
      </w:pPr>
      <w:r>
        <w:rPr>
          <w:b/>
          <w:sz w:val="20"/>
        </w:rPr>
        <w:t xml:space="preserve">Program &amp; Project Coordination: </w:t>
      </w:r>
      <w:r>
        <w:rPr>
          <w:sz w:val="20"/>
        </w:rPr>
        <w:t>PMO | Project Governance | RAG Status Reporting | RAID Log Management | Scope, Deliverable &amp; Timeline Management | Change Request Tracking | Audit Readiness | Documentation Control</w:t>
      </w:r>
    </w:p>
    <w:p>
      <w:pPr>
        <w:spacing w:after="40"/>
      </w:pPr>
      <w:r>
        <w:rPr>
          <w:b/>
          <w:sz w:val="20"/>
        </w:rPr>
        <w:t xml:space="preserve">Stakeholder &amp; Cross-Cultural Engagement: </w:t>
      </w:r>
      <w:r>
        <w:rPr>
          <w:sz w:val="20"/>
        </w:rPr>
        <w:t>Multi-Time-Zone Coordination (UK / Europe / India) | Client SPOC | Leadership Reviews | In-Person Institutional Outreach | RFP Authoring | Founder &amp; Executive Updates</w:t>
      </w:r>
    </w:p>
    <w:p>
      <w:pPr>
        <w:spacing w:after="40"/>
      </w:pPr>
      <w:r>
        <w:rPr>
          <w:b/>
          <w:sz w:val="20"/>
        </w:rPr>
        <w:t xml:space="preserve">Mentorship &amp; People Development: </w:t>
      </w:r>
      <w:r>
        <w:rPr>
          <w:sz w:val="20"/>
        </w:rPr>
        <w:t>Inclusive Onboarding Playbooks | 1:1 Career Coaching | College-to-Corporate Skill Bridging | Knowledge Transfer | Workplace-Readiness Coaching | Process Handover</w:t>
      </w:r>
    </w:p>
    <w:p>
      <w:pPr>
        <w:spacing w:after="40"/>
      </w:pPr>
      <w:r>
        <w:rPr>
          <w:b/>
          <w:sz w:val="20"/>
        </w:rPr>
        <w:t xml:space="preserve">Tools &amp; Reporting Depth: </w:t>
      </w:r>
      <w:r>
        <w:rPr>
          <w:sz w:val="20"/>
        </w:rPr>
        <w:t>Advanced MS Excel — Pivot Tables, XLOOKUP / INDEX-MATCH, SUMIFS, Power Query, Conditional Formatting, Data Validation | Power BI | MS Project | MS PowerPoint | Jira | SharePoint | AI-based Analytics Tools | D-Board | Intela Workspace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II</w:t>
      </w:r>
      <w:r>
        <w:rPr>
          <w:i/>
          <w:sz w:val="20"/>
        </w:rPr>
        <w:t xml:space="preserve">    April 2023 – April 2025</w:t>
      </w:r>
    </w:p>
    <w:p>
      <w:pPr>
        <w:pStyle w:val="ListBullet"/>
        <w:spacing w:after="40"/>
        <w:ind w:left="288"/>
      </w:pPr>
      <w:r>
        <w:rPr>
          <w:sz w:val="20"/>
        </w:rPr>
        <w:t>Led end-to-end PMO governance for 10+ UK and European client engagements using RAG/RAID frameworks, milestone trackers, and stakeholder dashboards — achieved 100% on-time delivery across direct, indirect, and statutory streams in a fast-paced, multi-workstream environment.</w:t>
      </w:r>
    </w:p>
    <w:p>
      <w:pPr>
        <w:pStyle w:val="ListBullet"/>
        <w:spacing w:after="40"/>
        <w:ind w:left="288"/>
      </w:pPr>
      <w:r>
        <w:rPr>
          <w:sz w:val="20"/>
        </w:rPr>
        <w:t>Designed and ran inclusive onboarding playbooks for 5+ new joiners across 4 offices — pairing schemes, structured KT sessions, and feedback checkpoints — cut ramp-up time from 6 weeks to 3 and improved early-stage joiner confidence in cross-cultural delivery teams.</w:t>
      </w:r>
    </w:p>
    <w:p>
      <w:pPr>
        <w:pStyle w:val="ListBullet"/>
        <w:spacing w:after="40"/>
        <w:ind w:left="288"/>
      </w:pPr>
      <w:r>
        <w:rPr>
          <w:sz w:val="20"/>
        </w:rPr>
        <w:t>Standardized status, governance, and reporting templates on SharePoint + Power BI dashboards — cut reporting effort 20–25%, shortened leadership review cycles by 2 days/week, and gave executives single-pane visibility across 10+ engagements.</w:t>
      </w:r>
    </w:p>
    <w:p>
      <w:pPr>
        <w:pStyle w:val="ListBullet"/>
        <w:spacing w:after="40"/>
        <w:ind w:left="288"/>
      </w:pPr>
      <w:r>
        <w:rPr>
          <w:sz w:val="20"/>
        </w:rPr>
        <w:t>Coordinated 30+ resources across 4 offices on a centralized tracker, running daily follow-ups on action items, approvals, and stakeholder requests — eliminated 15 hrs/week of manual chase and lifted execution velocity by 40% across time zones.</w:t>
      </w:r>
    </w:p>
    <w:p>
      <w:pPr>
        <w:pStyle w:val="ListBullet"/>
        <w:spacing w:after="40"/>
        <w:ind w:left="288"/>
      </w:pPr>
      <w:r>
        <w:rPr>
          <w:sz w:val="20"/>
        </w:rPr>
        <w:t>Owned governance reporting (weekly status, dashboards, RAID logs) for senior leadership and clients across 3+ time zones, acting as single point of contact between client SMEs and Deloitte teams; adapted communication style and meeting cadence to bridge regional norms.</w:t>
      </w:r>
    </w:p>
    <w:p>
      <w:pPr>
        <w:pStyle w:val="ListBullet"/>
        <w:spacing w:after="40"/>
        <w:ind w:left="288"/>
      </w:pPr>
      <w:r>
        <w:rPr>
          <w:sz w:val="20"/>
        </w:rPr>
        <w:t>Managed documentation control (SOWs, SOPs, audit files, transition docs) on version-controlled repositories with clear access tiers — passed 100% of internal QA audits and supported confidential handling of sensitive engagement data.</w:t>
      </w:r>
    </w:p>
    <w:p>
      <w:pPr>
        <w:pStyle w:val="ListBullet"/>
        <w:spacing w:after="40"/>
        <w:ind w:left="288"/>
      </w:pPr>
      <w:r>
        <w:rPr>
          <w:sz w:val="20"/>
        </w:rPr>
        <w:t>Deployed AI-based analytics tools to monitor compliance and risk signals and generate leadership insights — improved anomaly-detection accuracy by 25% and decision turnaround by 20%.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</w:t>
      </w:r>
      <w:r>
        <w:rPr>
          <w:i/>
          <w:sz w:val="20"/>
        </w:rPr>
        <w:t xml:space="preserve">    June 2022 – April 2023</w:t>
      </w:r>
    </w:p>
    <w:p>
      <w:pPr>
        <w:pStyle w:val="ListBullet"/>
        <w:spacing w:after="40"/>
        <w:ind w:left="288"/>
      </w:pPr>
      <w:r>
        <w:rPr>
          <w:sz w:val="20"/>
        </w:rPr>
        <w:t>Built compliance-tracking systems and onboarding playbooks for new clients, aligning project timelines with operational standards and improving client-onboarding efficiency by 30%.</w:t>
      </w:r>
    </w:p>
    <w:p>
      <w:pPr>
        <w:pStyle w:val="ListBullet"/>
        <w:spacing w:after="40"/>
        <w:ind w:left="288"/>
      </w:pPr>
      <w:r>
        <w:rPr>
          <w:sz w:val="20"/>
        </w:rPr>
        <w:t>Authored and structured RFPs for MENA and European pursuits with business development — contributed to 4 multinational client wins and 15% revenue uplift in target regions.</w:t>
      </w:r>
    </w:p>
    <w:p>
      <w:pPr>
        <w:pStyle w:val="ListBullet"/>
        <w:spacing w:after="40"/>
        <w:ind w:left="288"/>
      </w:pPr>
      <w:r>
        <w:rPr>
          <w:sz w:val="20"/>
        </w:rPr>
        <w:t>Maintained audit-ready documentation repositories (SOWs, SOPs, trackers) on SharePoint with version control — ensured 100% audit pass rate during transition phases.</w:t>
      </w:r>
    </w:p>
    <w:p>
      <w:pPr>
        <w:spacing w:after="0"/>
      </w:pPr>
      <w:r>
        <w:rPr>
          <w:b/>
          <w:sz w:val="22"/>
        </w:rPr>
        <w:t>Tooclarity (tooclarity.com)</w:t>
      </w:r>
      <w:r>
        <w:rPr>
          <w:sz w:val="20"/>
        </w:rPr>
        <w:t xml:space="preserve">  |  Hyderabad, India (travel across India)</w:t>
      </w:r>
    </w:p>
    <w:p>
      <w:pPr>
        <w:spacing w:after="40"/>
      </w:pPr>
      <w:r>
        <w:rPr>
          <w:b/>
          <w:i/>
          <w:sz w:val="20"/>
        </w:rPr>
        <w:t>Project Manager — Institutional Outreach &amp; Onboarding</w:t>
      </w:r>
      <w:r>
        <w:rPr>
          <w:i/>
          <w:sz w:val="20"/>
        </w:rPr>
        <w:t xml:space="preserve">    2025 (project engagement)</w:t>
      </w:r>
    </w:p>
    <w:p>
      <w:pPr>
        <w:pStyle w:val="ListBullet"/>
        <w:spacing w:after="40"/>
        <w:ind w:left="288"/>
      </w:pPr>
      <w:r>
        <w:rPr>
          <w:sz w:val="20"/>
        </w:rPr>
        <w:t>Partnered with the founder on go-to-market for institutional onboarding at Tooclarity, an India-based education-discovery platform offering verified college listings, scholarship matching, and personalised student action plans — visited colleges and educational institutions in person, pitched the platform's value proposition to deans and decision-makers, and closed listing agreements (RFP-style wins at startup scale).</w:t>
      </w:r>
    </w:p>
    <w:p>
      <w:pPr>
        <w:pStyle w:val="ListBullet"/>
        <w:spacing w:after="40"/>
        <w:ind w:left="288"/>
      </w:pPr>
      <w:r>
        <w:rPr>
          <w:sz w:val="20"/>
        </w:rPr>
        <w:t>Brought PMO discipline to a founder-led environment: built and ran the outreach pipeline (prospect lists, meeting cadence, post-visit follow-ups), and a lightweight CRM for institutional commitments and renewal tracking.</w:t>
      </w:r>
    </w:p>
    <w:p>
      <w:pPr>
        <w:pStyle w:val="ListBullet"/>
        <w:spacing w:after="40"/>
        <w:ind w:left="288"/>
      </w:pPr>
      <w:r>
        <w:rPr>
          <w:sz w:val="20"/>
        </w:rPr>
        <w:t>Translated product narrative across diverse college tiers, languages, and decision-making styles — adapted the pitch for tier-1, tier-2, and regional institutions and built repeatable onboarding playbooks for newly partnered colleges.</w:t>
      </w:r>
    </w:p>
    <w:p>
      <w:pPr>
        <w:pStyle w:val="ListBullet"/>
        <w:spacing w:after="40"/>
        <w:ind w:left="288"/>
      </w:pPr>
      <w:r>
        <w:rPr>
          <w:sz w:val="20"/>
        </w:rPr>
        <w:t>Coordinated between founders, operations, and onboarded institutions during launch — established weekly review cadence, status updates, and a shared backlog so commitments did not slip in a fast-moving environment.</w:t>
      </w:r>
    </w:p>
    <w:p>
      <w:pPr>
        <w:spacing w:after="0"/>
      </w:pPr>
      <w:r>
        <w:rPr>
          <w:b/>
          <w:sz w:val="22"/>
        </w:rPr>
        <w:t>Wells Fargo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Associate Financial Analyst</w:t>
      </w:r>
      <w:r>
        <w:rPr>
          <w:i/>
          <w:sz w:val="20"/>
        </w:rPr>
        <w:t xml:space="preserve">    November 2020 – December 2021</w:t>
      </w:r>
    </w:p>
    <w:p>
      <w:pPr>
        <w:pStyle w:val="ListBullet"/>
        <w:spacing w:after="40"/>
        <w:ind w:left="288"/>
      </w:pPr>
      <w:r>
        <w:rPr>
          <w:sz w:val="20"/>
        </w:rPr>
        <w:t>Audited credits and fee applications on debit, ACH, and cheque flows — surfaced ₹2L+/month in mis-applied fees and authored controls that prevented repeat occurrence; built strong habits around confidentiality, accuracy, and structured follow-through.</w:t>
      </w:r>
    </w:p>
    <w:p>
      <w:pPr>
        <w:pStyle w:val="ListBullet"/>
        <w:spacing w:after="40"/>
        <w:ind w:left="288"/>
      </w:pPr>
      <w:r>
        <w:rPr>
          <w:sz w:val="20"/>
        </w:rPr>
        <w:t>Processed Visa debit-card fraud and non-fraud claims (FCM) using bank investigation tools — resolved 40+ cases/day with &gt;98% accuracy and zero compliance breaches.</w:t>
      </w:r>
    </w:p>
    <w:p>
      <w:pPr>
        <w:pStyle w:val="ListBullet"/>
        <w:spacing w:after="40"/>
        <w:ind w:left="288"/>
      </w:pPr>
      <w:r>
        <w:rPr>
          <w:sz w:val="20"/>
        </w:rPr>
        <w:t>Performed QA on ATM debit, ACH, and cheque-fraud units — strengthened financial-controls posture and feedback loops for upstream operations teams.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MENTORSHIP &amp; COMMUNITY ENGAGEMENT</w:t>
      </w:r>
    </w:p>
    <w:p>
      <w:pPr>
        <w:pStyle w:val="ListBullet"/>
        <w:spacing w:after="40"/>
        <w:ind w:left="288"/>
      </w:pPr>
      <w:r>
        <w:rPr>
          <w:sz w:val="20"/>
        </w:rPr>
        <w:t>Mentored undergraduate and MBA students across Osmania University and partner colleges on the college-to-corporate transition — covered skill gaps, professional documentation, stakeholder communication, and pathways into PMO, consulting, and finance roles.</w:t>
      </w:r>
    </w:p>
    <w:p>
      <w:pPr>
        <w:pStyle w:val="ListBullet"/>
        <w:spacing w:after="40"/>
        <w:ind w:left="288"/>
      </w:pPr>
      <w:r>
        <w:rPr>
          <w:sz w:val="20"/>
        </w:rPr>
        <w:t>Ran skill-development sessions bridging classroom learning to corporate expectations — interview prep, resume craft, workplace etiquette, and basic project / stakeholder skills — preparing students with corporate-ready capabilities before campus placements.</w:t>
      </w:r>
    </w:p>
    <w:p>
      <w:pPr>
        <w:pStyle w:val="ListBullet"/>
        <w:spacing w:after="40"/>
        <w:ind w:left="288"/>
      </w:pPr>
      <w:r>
        <w:rPr>
          <w:sz w:val="20"/>
        </w:rPr>
        <w:t>Advised students through 1:1 conversations on career pathing, helping several land entry-level consulting, finance, and operations roles; built a small, ongoing peer network for follow-up support.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EDUCATION</w:t>
      </w:r>
    </w:p>
    <w:p>
      <w:pPr>
        <w:pStyle w:val="ListBullet"/>
        <w:spacing w:after="40"/>
        <w:ind w:left="288"/>
      </w:pPr>
      <w:r>
        <w:rPr>
          <w:sz w:val="20"/>
        </w:rPr>
        <w:t>MBA, Finance — Osmania University (2018–2020) — GPA 7.3</w:t>
      </w:r>
    </w:p>
    <w:p>
      <w:pPr>
        <w:pStyle w:val="ListBullet"/>
        <w:spacing w:after="40"/>
        <w:ind w:left="288"/>
      </w:pPr>
      <w:r>
        <w:rPr>
          <w:sz w:val="20"/>
        </w:rPr>
        <w:t>B.Com — Osmania University (2015–2018) — GPA 7.1</w:t>
      </w:r>
    </w:p>
    <w:p>
      <w:pPr>
        <w:pStyle w:val="ListBullet"/>
        <w:spacing w:after="40"/>
        <w:ind w:left="288"/>
      </w:pPr>
      <w:r>
        <w:rPr>
          <w:sz w:val="20"/>
        </w:rPr>
        <w:t>CA Intermediate — ICAI (2018)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after="40"/>
        <w:ind w:left="288"/>
      </w:pPr>
      <w:r>
        <w:rPr>
          <w:sz w:val="20"/>
        </w:rPr>
        <w:t>PMP Certification — In Progress (target H2 2026)</w:t>
      </w:r>
    </w:p>
    <w:p>
      <w:pPr>
        <w:pStyle w:val="ListBullet"/>
        <w:spacing w:after="40"/>
        <w:ind w:left="288"/>
      </w:pPr>
      <w:r>
        <w:rPr>
          <w:sz w:val="20"/>
        </w:rPr>
        <w:t>NISM (National Institute of Securities Markets): Securities Operations &amp; Risk Management; Mutual Funds Distributors; Currency Derivatives; Equity Derivatives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INTERESTS &amp; CONTINUOUS LEARNING</w:t>
      </w:r>
    </w:p>
    <w:p>
      <w:pPr>
        <w:spacing w:after="40"/>
      </w:pPr>
      <w:r>
        <w:rPr>
          <w:b/>
          <w:sz w:val="20"/>
        </w:rPr>
        <w:t xml:space="preserve">Diversity, Equity &amp; Inclusion: </w:t>
      </w:r>
      <w:r>
        <w:rPr>
          <w:sz w:val="20"/>
        </w:rPr>
        <w:t>Self-driven study of DEI frameworks (APSCo Embrace, FICCI D&amp;I Charter, UK Gender Equality Charter), India-context reports (NHRDN, BW People), and inclusive recruitment best practice.</w:t>
      </w:r>
    </w:p>
    <w:p>
      <w:pPr>
        <w:spacing w:after="40"/>
      </w:pPr>
      <w:r>
        <w:rPr>
          <w:b/>
          <w:sz w:val="20"/>
        </w:rPr>
        <w:t xml:space="preserve">Accessibility &amp; Reasonable Adjustments: </w:t>
      </w:r>
      <w:r>
        <w:rPr>
          <w:sz w:val="20"/>
        </w:rPr>
        <w:t>Following W3C accessibility fundamentals and reasonable-adjustments practices in recruitment and onboarding workflows.</w:t>
      </w:r>
    </w:p>
    <w:p>
      <w:pPr>
        <w:spacing w:after="40"/>
      </w:pPr>
      <w:r>
        <w:rPr>
          <w:b/>
          <w:sz w:val="20"/>
        </w:rPr>
        <w:t xml:space="preserve">Mentorship &amp; Education Access: </w:t>
      </w:r>
      <w:r>
        <w:rPr>
          <w:sz w:val="20"/>
        </w:rPr>
        <w:t>Volunteer mentor for college students on college-to-corporate transition; ongoing partnership with Tooclarity on widening institutional access for under-served learners.</w:t>
      </w:r>
    </w:p>
    <w:p>
      <w:pPr>
        <w:spacing w:after="40"/>
      </w:pPr>
      <w:r>
        <w:rPr>
          <w:b/>
          <w:sz w:val="20"/>
        </w:rPr>
        <w:t xml:space="preserve">PMO &amp; Operations Craft: </w:t>
      </w:r>
      <w:r>
        <w:rPr>
          <w:sz w:val="20"/>
        </w:rPr>
        <w:t>Tracking PMI publications, Atlassian Work Management blog, and case studies on RAG/RAID, OKRs, and inclusive program governance.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AWARDS &amp; RECOGNITION</w:t>
      </w:r>
    </w:p>
    <w:p>
      <w:pPr>
        <w:pStyle w:val="ListBullet"/>
        <w:spacing w:after="40"/>
        <w:ind w:left="288"/>
      </w:pPr>
      <w:r>
        <w:rPr>
          <w:sz w:val="20"/>
        </w:rPr>
        <w:t>Top Performer — Recognised at Deloitte for 3 quarters (accuracy + leadership).</w:t>
      </w:r>
    </w:p>
    <w:p>
      <w:pPr>
        <w:pStyle w:val="ListBullet"/>
        <w:spacing w:after="40"/>
        <w:ind w:left="288"/>
      </w:pPr>
      <w:r>
        <w:rPr>
          <w:sz w:val="20"/>
        </w:rPr>
        <w:t>Fast-track Promotion — Promoted to Tax Consultant II within 10 months.</w:t>
      </w:r>
    </w:p>
    <w:p>
      <w:pPr>
        <w:pStyle w:val="ListBullet"/>
        <w:spacing w:after="40"/>
        <w:ind w:left="288"/>
      </w:pPr>
      <w:r>
        <w:rPr>
          <w:sz w:val="20"/>
        </w:rPr>
        <w:t>Mentor &amp; Onboarding Lead — Selected to onboard new hires and lead process handovers.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ADDITIONAL</w:t>
      </w:r>
    </w:p>
    <w:p>
      <w:pPr>
        <w:pStyle w:val="ListBullet"/>
        <w:spacing w:after="40"/>
        <w:ind w:left="288"/>
      </w:pPr>
      <w:r>
        <w:rPr>
          <w:sz w:val="20"/>
        </w:rPr>
        <w:t>Languages: English, Telugu, Hindi</w:t>
      </w:r>
    </w:p>
    <w:p>
      <w:pPr>
        <w:pStyle w:val="ListBullet"/>
        <w:spacing w:after="40"/>
        <w:ind w:left="288"/>
      </w:pPr>
      <w:r>
        <w:rPr>
          <w:sz w:val="20"/>
        </w:rPr>
        <w:t>Immediate joiner</w:t>
      </w:r>
    </w:p>
    <w:p>
      <w:pPr>
        <w:pStyle w:val="ListBullet"/>
        <w:spacing w:after="40"/>
        <w:ind w:left="288"/>
      </w:pPr>
      <w:r>
        <w:rPr>
          <w:sz w:val="20"/>
        </w:rPr>
        <w:t>Open to: Hyderabad, Bangalore, Mumbai, Remote / Relocation across India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