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c469d949acebdb1109b7b69900d3e3d46f48c30"/>
    <w:p>
      <w:pPr>
        <w:pStyle w:val="Heading1"/>
      </w:pPr>
      <w:r>
        <w:t xml:space="preserve">RFC-001: DORE 3.0 Decision Engine Architecture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Proposed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3.0</w:t>
      </w:r>
      <w:r>
        <w:br/>
      </w:r>
      <w:r>
        <w:rPr>
          <w:b/>
          <w:bCs/>
        </w:rPr>
        <w:t xml:space="preserve">Authors:</w:t>
      </w:r>
      <w:r>
        <w:t xml:space="preserve"> </w:t>
      </w:r>
      <w:r>
        <w:t xml:space="preserve">MasterScanner Architecture</w:t>
      </w:r>
      <w:r>
        <w:br/>
      </w:r>
      <w:r>
        <w:rPr>
          <w:b/>
          <w:bCs/>
        </w:rPr>
        <w:t xml:space="preserve">Target Release:</w:t>
      </w:r>
      <w:r>
        <w:t xml:space="preserve"> </w:t>
      </w:r>
      <w:r>
        <w:t xml:space="preserve">DORE 3.x</w:t>
      </w:r>
      <w:r>
        <w:br/>
      </w:r>
      <w:r>
        <w:rPr>
          <w:b/>
          <w:bCs/>
        </w:rPr>
        <w:t xml:space="preserve">Audience:</w:t>
      </w:r>
      <w:r>
        <w:t xml:space="preserve"> </w:t>
      </w:r>
      <w:r>
        <w:t xml:space="preserve">Core Engine Developers, Quant Research, UI, Backtesting, Data Engineering</w:t>
      </w:r>
    </w:p>
    <w:p>
      <w:r>
        <w:pict>
          <v:rect style="width:0;height:1.5pt" o:hralign="center" o:hrstd="t" o:hr="t"/>
        </w:pict>
      </w:r>
    </w:p>
    <w:bookmarkEnd w:id="20"/>
    <w:bookmarkStart w:id="21" w:name="executive-summary"/>
    <w:p>
      <w:pPr>
        <w:pStyle w:val="Heading1"/>
      </w:pPr>
      <w:r>
        <w:t xml:space="preserve">1. Executive Summary</w:t>
      </w:r>
    </w:p>
    <w:p>
      <w:pPr>
        <w:pStyle w:val="FirstParagraph"/>
      </w:pPr>
      <w:r>
        <w:t xml:space="preserve">DORE (Decision-Oriented Recommendation Engine) is the institutional decision engine powering MasterScanner’s option-buying recommendations.</w:t>
      </w:r>
    </w:p>
    <w:p>
      <w:pPr>
        <w:pStyle w:val="BodyText"/>
      </w:pPr>
      <w:r>
        <w:t xml:space="preserve">This RFC defines the next-generation architecture that separates market analysis into independent evidence domains before synthesizing them into a final trading recommendation.</w:t>
      </w:r>
    </w:p>
    <w:p>
      <w:pPr>
        <w:pStyle w:val="BodyText"/>
      </w:pPr>
      <w:r>
        <w:t xml:space="preserve">The architecture introduces</w:t>
      </w:r>
      <w:r>
        <w:t xml:space="preserve"> </w:t>
      </w:r>
      <w:r>
        <w:rPr>
          <w:b/>
          <w:bCs/>
        </w:rPr>
        <w:t xml:space="preserve">Option Intelligence (Stage 3.5)</w:t>
      </w:r>
      <w:r>
        <w:t xml:space="preserve"> </w:t>
      </w:r>
      <w:r>
        <w:t xml:space="preserve">as a first-class decision stage, recognizing that evaluating the quality of an option contract is fundamentally different from evaluating trend, derivatives participation, or trade risk.</w:t>
      </w:r>
    </w:p>
    <w:p>
      <w:r>
        <w:pict>
          <v:rect style="width:0;height:1.5pt" o:hralign="center" o:hrstd="t" o:hr="t"/>
        </w:pict>
      </w:r>
    </w:p>
    <w:bookmarkEnd w:id="21"/>
    <w:bookmarkStart w:id="22" w:name="problem-statement"/>
    <w:p>
      <w:pPr>
        <w:pStyle w:val="Heading1"/>
      </w:pPr>
      <w:r>
        <w:t xml:space="preserve">2. Problem Statement</w:t>
      </w:r>
    </w:p>
    <w:p>
      <w:pPr>
        <w:pStyle w:val="FirstParagraph"/>
      </w:pPr>
      <w:r>
        <w:t xml:space="preserve">Earlier DORE revisions embedded IV-related logic inside Risk Intelligence.</w:t>
      </w:r>
    </w:p>
    <w:p>
      <w:pPr>
        <w:pStyle w:val="BodyText"/>
      </w:pPr>
      <w:r>
        <w:t xml:space="preserve">This created several architectural issues:</w:t>
      </w:r>
    </w:p>
    <w:p>
      <w:pPr>
        <w:pStyle w:val="Compact"/>
        <w:numPr>
          <w:ilvl w:val="0"/>
          <w:numId w:val="1001"/>
        </w:numPr>
      </w:pPr>
      <w:r>
        <w:t xml:space="preserve">Option valuation became mixed with trade survivability.</w:t>
      </w:r>
    </w:p>
    <w:p>
      <w:pPr>
        <w:pStyle w:val="Compact"/>
        <w:numPr>
          <w:ilvl w:val="0"/>
          <w:numId w:val="1001"/>
        </w:numPr>
      </w:pPr>
      <w:r>
        <w:t xml:space="preserve">IV influenced multiple stages, increasing the risk of double-counting.</w:t>
      </w:r>
    </w:p>
    <w:p>
      <w:pPr>
        <w:pStyle w:val="Compact"/>
        <w:numPr>
          <w:ilvl w:val="0"/>
          <w:numId w:val="1001"/>
        </w:numPr>
      </w:pPr>
      <w:r>
        <w:t xml:space="preserve">Risk Intelligence became dependent on option-specific constructs, reducing reuse.</w:t>
      </w:r>
    </w:p>
    <w:p>
      <w:pPr>
        <w:pStyle w:val="Compact"/>
        <w:numPr>
          <w:ilvl w:val="0"/>
          <w:numId w:val="1001"/>
        </w:numPr>
      </w:pPr>
      <w:r>
        <w:t xml:space="preserve">The engine lacked a dedicated component to answer:</w:t>
      </w:r>
    </w:p>
    <w:p>
      <w:pPr>
        <w:pStyle w:val="BlockText"/>
      </w:pPr>
      <w:r>
        <w:rPr>
          <w:b/>
          <w:bCs/>
        </w:rPr>
        <w:t xml:space="preserve">“Is this option contract worth buying?”</w:t>
      </w:r>
    </w:p>
    <w:p>
      <w:pPr>
        <w:pStyle w:val="FirstParagraph"/>
      </w:pPr>
      <w:r>
        <w:t xml:space="preserve">The result was a system where market direction and contract pricing were intertwined despite representing different decision domains.</w:t>
      </w:r>
    </w:p>
    <w:p>
      <w:r>
        <w:pict>
          <v:rect style="width:0;height:1.5pt" o:hralign="center" o:hrstd="t" o:hr="t"/>
        </w:pict>
      </w:r>
    </w:p>
    <w:bookmarkEnd w:id="22"/>
    <w:bookmarkStart w:id="28" w:name="design-goals"/>
    <w:p>
      <w:pPr>
        <w:pStyle w:val="Heading1"/>
      </w:pPr>
      <w:r>
        <w:t xml:space="preserve">3. Design Goals</w:t>
      </w:r>
    </w:p>
    <w:p>
      <w:pPr>
        <w:pStyle w:val="FirstParagraph"/>
      </w:pPr>
      <w:r>
        <w:t xml:space="preserve">The DORE 3.0 architecture is designed around the following goals:</w:t>
      </w:r>
    </w:p>
    <w:bookmarkStart w:id="23" w:name="g1.-single-responsibility"/>
    <w:p>
      <w:pPr>
        <w:pStyle w:val="Heading3"/>
      </w:pPr>
      <w:r>
        <w:t xml:space="preserve">G1. Single Responsibility</w:t>
      </w:r>
    </w:p>
    <w:p>
      <w:pPr>
        <w:pStyle w:val="FirstParagraph"/>
      </w:pPr>
      <w:r>
        <w:t xml:space="preserve">Each stage answers exactly one business question.</w:t>
      </w:r>
    </w:p>
    <w:bookmarkEnd w:id="23"/>
    <w:bookmarkStart w:id="24" w:name="g2.-explainability"/>
    <w:p>
      <w:pPr>
        <w:pStyle w:val="Heading3"/>
      </w:pPr>
      <w:r>
        <w:t xml:space="preserve">G2. Explainability</w:t>
      </w:r>
    </w:p>
    <w:p>
      <w:pPr>
        <w:pStyle w:val="FirstParagraph"/>
      </w:pPr>
      <w:r>
        <w:t xml:space="preserve">Every score should have a single meaning.</w:t>
      </w:r>
    </w:p>
    <w:bookmarkEnd w:id="24"/>
    <w:bookmarkStart w:id="25" w:name="g3.-independence"/>
    <w:p>
      <w:pPr>
        <w:pStyle w:val="Heading3"/>
      </w:pPr>
      <w:r>
        <w:t xml:space="preserve">G3. Independence</w:t>
      </w:r>
    </w:p>
    <w:p>
      <w:pPr>
        <w:pStyle w:val="FirstParagraph"/>
      </w:pPr>
      <w:r>
        <w:t xml:space="preserve">Stages operate independently and do not rewrite each other’s scores.</w:t>
      </w:r>
    </w:p>
    <w:bookmarkEnd w:id="25"/>
    <w:bookmarkStart w:id="26" w:name="g4.-extensibility"/>
    <w:p>
      <w:pPr>
        <w:pStyle w:val="Heading3"/>
      </w:pPr>
      <w:r>
        <w:t xml:space="preserve">G4. Extensibility</w:t>
      </w:r>
    </w:p>
    <w:p>
      <w:pPr>
        <w:pStyle w:val="FirstParagraph"/>
      </w:pPr>
      <w:r>
        <w:t xml:space="preserve">Future indicators should integrate without redesigning the pipeline.</w:t>
      </w:r>
    </w:p>
    <w:bookmarkEnd w:id="26"/>
    <w:bookmarkStart w:id="27" w:name="g5.-institutional-alignment"/>
    <w:p>
      <w:pPr>
        <w:pStyle w:val="Heading3"/>
      </w:pPr>
      <w:r>
        <w:t xml:space="preserve">G5. Institutional Alignment</w:t>
      </w:r>
    </w:p>
    <w:p>
      <w:pPr>
        <w:pStyle w:val="FirstParagraph"/>
      </w:pPr>
      <w:r>
        <w:t xml:space="preserve">The decision sequence should mirror how experienced options traders evaluate opportunities.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non-goals"/>
    <w:p>
      <w:pPr>
        <w:pStyle w:val="Heading1"/>
      </w:pPr>
      <w:r>
        <w:t xml:space="preserve">4. Non-Goals</w:t>
      </w:r>
    </w:p>
    <w:p>
      <w:pPr>
        <w:pStyle w:val="FirstParagraph"/>
      </w:pPr>
      <w:r>
        <w:t xml:space="preserve">This RFC does not define:</w:t>
      </w:r>
    </w:p>
    <w:p>
      <w:pPr>
        <w:pStyle w:val="Compact"/>
        <w:numPr>
          <w:ilvl w:val="0"/>
          <w:numId w:val="1002"/>
        </w:numPr>
      </w:pPr>
      <w:r>
        <w:t xml:space="preserve">Indicator formulas</w:t>
      </w:r>
    </w:p>
    <w:p>
      <w:pPr>
        <w:pStyle w:val="Compact"/>
        <w:numPr>
          <w:ilvl w:val="0"/>
          <w:numId w:val="1002"/>
        </w:numPr>
      </w:pPr>
      <w:r>
        <w:t xml:space="preserve">Scoring weights</w:t>
      </w:r>
    </w:p>
    <w:p>
      <w:pPr>
        <w:pStyle w:val="Compact"/>
        <w:numPr>
          <w:ilvl w:val="0"/>
          <w:numId w:val="1002"/>
        </w:numPr>
      </w:pPr>
      <w:r>
        <w:t xml:space="preserve">Threshold values</w:t>
      </w:r>
    </w:p>
    <w:p>
      <w:pPr>
        <w:pStyle w:val="Compact"/>
        <w:numPr>
          <w:ilvl w:val="0"/>
          <w:numId w:val="1002"/>
        </w:numPr>
      </w:pPr>
      <w:r>
        <w:t xml:space="preserve">Backtesting methodology</w:t>
      </w:r>
    </w:p>
    <w:p>
      <w:pPr>
        <w:pStyle w:val="Compact"/>
        <w:numPr>
          <w:ilvl w:val="0"/>
          <w:numId w:val="1002"/>
        </w:numPr>
      </w:pPr>
      <w:r>
        <w:t xml:space="preserve">UI implementation</w:t>
      </w:r>
    </w:p>
    <w:p>
      <w:pPr>
        <w:pStyle w:val="Compact"/>
        <w:numPr>
          <w:ilvl w:val="0"/>
          <w:numId w:val="1002"/>
        </w:numPr>
      </w:pPr>
      <w:r>
        <w:t xml:space="preserve">Portfolio allocation algorithms</w:t>
      </w:r>
    </w:p>
    <w:p>
      <w:pPr>
        <w:pStyle w:val="FirstParagraph"/>
      </w:pPr>
      <w:r>
        <w:t xml:space="preserve">Those belong to separate specifications.</w:t>
      </w:r>
    </w:p>
    <w:p>
      <w:r>
        <w:pict>
          <v:rect style="width:0;height:1.5pt" o:hralign="center" o:hrstd="t" o:hr="t"/>
        </w:pict>
      </w:r>
    </w:p>
    <w:bookmarkEnd w:id="29"/>
    <w:bookmarkStart w:id="30" w:name="high-level-architecture"/>
    <w:p>
      <w:pPr>
        <w:pStyle w:val="Heading1"/>
      </w:pPr>
      <w:r>
        <w:t xml:space="preserve">5. High-Level Architecture</w:t>
      </w:r>
    </w:p>
    <w:p>
      <w:pPr>
        <w:pStyle w:val="SourceCode"/>
      </w:pPr>
      <w:r>
        <w:rPr>
          <w:rStyle w:val="VerbatimChar"/>
        </w:rPr>
        <w:t xml:space="preserve">                 Market Data</w:t>
      </w:r>
      <w:r>
        <w:br/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                      ▼</w:t>
      </w:r>
      <w:r>
        <w:br/>
      </w:r>
      <w:r>
        <w:rPr>
          <w:rStyle w:val="VerbatimChar"/>
        </w:rPr>
        <w:t xml:space="preserve">        ┌────────────────────────────┐</w:t>
      </w:r>
      <w:r>
        <w:br/>
      </w:r>
      <w:r>
        <w:rPr>
          <w:rStyle w:val="VerbatimChar"/>
        </w:rPr>
        <w:t xml:space="preserve">        │ Stage 1 : Trend Intent     │</w:t>
      </w:r>
      <w:r>
        <w:br/>
      </w:r>
      <w:r>
        <w:rPr>
          <w:rStyle w:val="VerbatimChar"/>
        </w:rPr>
        <w:t xml:space="preserve">        └────────────────────────────┘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                      ▼</w:t>
      </w:r>
      <w:r>
        <w:br/>
      </w:r>
      <w:r>
        <w:rPr>
          <w:rStyle w:val="VerbatimChar"/>
        </w:rPr>
        <w:t xml:space="preserve">        ┌────────────────────────────┐</w:t>
      </w:r>
      <w:r>
        <w:br/>
      </w:r>
      <w:r>
        <w:rPr>
          <w:rStyle w:val="VerbatimChar"/>
        </w:rPr>
        <w:t xml:space="preserve">        │ Stage 2 : Execution Timing │</w:t>
      </w:r>
      <w:r>
        <w:br/>
      </w:r>
      <w:r>
        <w:rPr>
          <w:rStyle w:val="VerbatimChar"/>
        </w:rPr>
        <w:t xml:space="preserve">        └────────────────────────────┘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                      ▼</w:t>
      </w:r>
      <w:r>
        <w:br/>
      </w:r>
      <w:r>
        <w:rPr>
          <w:rStyle w:val="VerbatimChar"/>
        </w:rPr>
        <w:t xml:space="preserve">        ┌────────────────────────────┐</w:t>
      </w:r>
      <w:r>
        <w:br/>
      </w:r>
      <w:r>
        <w:rPr>
          <w:rStyle w:val="VerbatimChar"/>
        </w:rPr>
        <w:t xml:space="preserve">        │ Stage 3 : Derivative Intel │</w:t>
      </w:r>
      <w:r>
        <w:br/>
      </w:r>
      <w:r>
        <w:rPr>
          <w:rStyle w:val="VerbatimChar"/>
        </w:rPr>
        <w:t xml:space="preserve">        └────────────────────────────┘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                      ▼</w:t>
      </w:r>
      <w:r>
        <w:br/>
      </w:r>
      <w:r>
        <w:rPr>
          <w:rStyle w:val="VerbatimChar"/>
        </w:rPr>
        <w:t xml:space="preserve">        ┌────────────────────────────┐</w:t>
      </w:r>
      <w:r>
        <w:br/>
      </w:r>
      <w:r>
        <w:rPr>
          <w:rStyle w:val="VerbatimChar"/>
        </w:rPr>
        <w:t xml:space="preserve">        │ Stage 3.5 : Option Intel   │</w:t>
      </w:r>
      <w:r>
        <w:br/>
      </w:r>
      <w:r>
        <w:rPr>
          <w:rStyle w:val="VerbatimChar"/>
        </w:rPr>
        <w:t xml:space="preserve">        └────────────────────────────┘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                      ▼</w:t>
      </w:r>
      <w:r>
        <w:br/>
      </w:r>
      <w:r>
        <w:rPr>
          <w:rStyle w:val="VerbatimChar"/>
        </w:rPr>
        <w:t xml:space="preserve">        ┌────────────────────────────┐</w:t>
      </w:r>
      <w:r>
        <w:br/>
      </w:r>
      <w:r>
        <w:rPr>
          <w:rStyle w:val="VerbatimChar"/>
        </w:rPr>
        <w:t xml:space="preserve">        │ Stage 4 : Risk Intelligence│</w:t>
      </w:r>
      <w:r>
        <w:br/>
      </w:r>
      <w:r>
        <w:rPr>
          <w:rStyle w:val="VerbatimChar"/>
        </w:rPr>
        <w:t xml:space="preserve">        └────────────────────────────┘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                      ▼</w:t>
      </w:r>
      <w:r>
        <w:br/>
      </w:r>
      <w:r>
        <w:rPr>
          <w:rStyle w:val="VerbatimChar"/>
        </w:rPr>
        <w:t xml:space="preserve">        ┌────────────────────────────┐</w:t>
      </w:r>
      <w:r>
        <w:br/>
      </w:r>
      <w:r>
        <w:rPr>
          <w:rStyle w:val="VerbatimChar"/>
        </w:rPr>
        <w:t xml:space="preserve">        │ Stage 5 : Opportunity      │</w:t>
      </w:r>
      <w:r>
        <w:br/>
      </w:r>
      <w:r>
        <w:rPr>
          <w:rStyle w:val="VerbatimChar"/>
        </w:rPr>
        <w:t xml:space="preserve">        └────────────────────────────┘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                      ▼</w:t>
      </w:r>
      <w:r>
        <w:br/>
      </w:r>
      <w:r>
        <w:rPr>
          <w:rStyle w:val="VerbatimChar"/>
        </w:rPr>
        <w:t xml:space="preserve">          Recommendation Pipeline</w:t>
      </w:r>
    </w:p>
    <w:p>
      <w:r>
        <w:pict>
          <v:rect style="width:0;height:1.5pt" o:hralign="center" o:hrstd="t" o:hr="t"/>
        </w:pict>
      </w:r>
    </w:p>
    <w:bookmarkEnd w:id="30"/>
    <w:bookmarkStart w:id="31" w:name="business-questions"/>
    <w:p>
      <w:pPr>
        <w:pStyle w:val="Heading1"/>
      </w:pPr>
      <w:r>
        <w:t xml:space="preserve">6. Business Questions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Stage</w:t>
            </w:r>
          </w:p>
        </w:tc>
        <w:tc>
          <w:tcPr/>
          <w:p>
            <w:pPr>
              <w:pStyle w:val="Compact"/>
            </w:pPr>
            <w:r>
              <w:t xml:space="preserve">Business Question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Trend Intent</w:t>
            </w:r>
          </w:p>
        </w:tc>
        <w:tc>
          <w:tcPr/>
          <w:p>
            <w:pPr>
              <w:pStyle w:val="Compact"/>
            </w:pPr>
            <w:r>
              <w:t xml:space="preserve">What should I trade?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Execution Timing</w:t>
            </w:r>
          </w:p>
        </w:tc>
        <w:tc>
          <w:tcPr/>
          <w:p>
            <w:pPr>
              <w:pStyle w:val="Compact"/>
            </w:pPr>
            <w:r>
              <w:t xml:space="preserve">When should I trade?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Derivative Intelligence</w:t>
            </w:r>
          </w:p>
        </w:tc>
        <w:tc>
          <w:tcPr/>
          <w:p>
            <w:pPr>
              <w:pStyle w:val="Compact"/>
            </w:pPr>
            <w:r>
              <w:t xml:space="preserve">Does the derivatives market agree?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Option Intelligence</w:t>
            </w:r>
          </w:p>
        </w:tc>
        <w:tc>
          <w:tcPr/>
          <w:p>
            <w:pPr>
              <w:pStyle w:val="Compact"/>
            </w:pPr>
            <w:r>
              <w:t xml:space="preserve">Is this option worth buying?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Risk Intelligence</w:t>
            </w:r>
          </w:p>
        </w:tc>
        <w:tc>
          <w:tcPr/>
          <w:p>
            <w:pPr>
              <w:pStyle w:val="Compact"/>
            </w:pPr>
            <w:r>
              <w:t xml:space="preserve">Can this trade survive?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Opportunity Engine</w:t>
            </w:r>
          </w:p>
        </w:tc>
        <w:tc>
          <w:tcPr/>
          <w:p>
            <w:pPr>
              <w:pStyle w:val="Compact"/>
            </w:pPr>
            <w:r>
              <w:t xml:space="preserve">Should I execute?</w:t>
            </w:r>
          </w:p>
        </w:tc>
      </w:tr>
    </w:tbl>
    <w:p>
      <w:pPr>
        <w:pStyle w:val="BodyText"/>
      </w:pPr>
      <w:r>
        <w:t xml:space="preserve">These questions are intentionally orthogonal.</w:t>
      </w:r>
    </w:p>
    <w:p>
      <w:r>
        <w:pict>
          <v:rect style="width:0;height:1.5pt" o:hralign="center" o:hrstd="t" o:hr="t"/>
        </w:pict>
      </w:r>
    </w:p>
    <w:bookmarkEnd w:id="31"/>
    <w:bookmarkStart w:id="61" w:name="stage-contracts"/>
    <w:p>
      <w:pPr>
        <w:pStyle w:val="Heading1"/>
      </w:pPr>
      <w:r>
        <w:t xml:space="preserve">7. Stage Contracts</w:t>
      </w:r>
    </w:p>
    <w:bookmarkStart w:id="35" w:name="stage-1-trend-intent"/>
    <w:p>
      <w:pPr>
        <w:pStyle w:val="Heading2"/>
      </w:pPr>
      <w:r>
        <w:t xml:space="preserve">Stage 1 — Trend Intent</w:t>
      </w:r>
    </w:p>
    <w:bookmarkStart w:id="32" w:name="inputs"/>
    <w:p>
      <w:pPr>
        <w:pStyle w:val="Heading3"/>
      </w:pPr>
      <w:r>
        <w:t xml:space="preserve">Inputs</w:t>
      </w:r>
    </w:p>
    <w:p>
      <w:pPr>
        <w:pStyle w:val="Compact"/>
        <w:numPr>
          <w:ilvl w:val="0"/>
          <w:numId w:val="1003"/>
        </w:numPr>
      </w:pPr>
      <w:r>
        <w:t xml:space="preserve">Price</w:t>
      </w:r>
    </w:p>
    <w:p>
      <w:pPr>
        <w:pStyle w:val="Compact"/>
        <w:numPr>
          <w:ilvl w:val="0"/>
          <w:numId w:val="1003"/>
        </w:numPr>
      </w:pPr>
      <w:r>
        <w:t xml:space="preserve">EMA Structure</w:t>
      </w:r>
    </w:p>
    <w:p>
      <w:pPr>
        <w:pStyle w:val="Compact"/>
        <w:numPr>
          <w:ilvl w:val="0"/>
          <w:numId w:val="1003"/>
        </w:numPr>
      </w:pPr>
      <w:r>
        <w:t xml:space="preserve">Trend Metrics</w:t>
      </w:r>
    </w:p>
    <w:p>
      <w:pPr>
        <w:pStyle w:val="Compact"/>
        <w:numPr>
          <w:ilvl w:val="0"/>
          <w:numId w:val="1003"/>
        </w:numPr>
      </w:pPr>
      <w:r>
        <w:t xml:space="preserve">Relative Strength</w:t>
      </w:r>
    </w:p>
    <w:p>
      <w:pPr>
        <w:pStyle w:val="Compact"/>
        <w:numPr>
          <w:ilvl w:val="0"/>
          <w:numId w:val="1003"/>
        </w:numPr>
      </w:pPr>
      <w:r>
        <w:t xml:space="preserve">Momentum</w:t>
      </w:r>
    </w:p>
    <w:p>
      <w:pPr>
        <w:pStyle w:val="Compact"/>
        <w:numPr>
          <w:ilvl w:val="0"/>
          <w:numId w:val="1003"/>
        </w:numPr>
      </w:pPr>
      <w:r>
        <w:t xml:space="preserve">Multi-Timeframe Alignment</w:t>
      </w:r>
    </w:p>
    <w:bookmarkEnd w:id="32"/>
    <w:bookmarkStart w:id="33" w:name="outputs"/>
    <w:p>
      <w:pPr>
        <w:pStyle w:val="Heading3"/>
      </w:pPr>
      <w:r>
        <w:t xml:space="preserve">Outputs</w:t>
      </w:r>
    </w:p>
    <w:p>
      <w:pPr>
        <w:pStyle w:val="Compact"/>
        <w:numPr>
          <w:ilvl w:val="0"/>
          <w:numId w:val="1004"/>
        </w:numPr>
      </w:pPr>
      <w:r>
        <w:t xml:space="preserve">Trend Score</w:t>
      </w:r>
    </w:p>
    <w:p>
      <w:pPr>
        <w:pStyle w:val="Compact"/>
        <w:numPr>
          <w:ilvl w:val="0"/>
          <w:numId w:val="1004"/>
        </w:numPr>
      </w:pPr>
      <w:r>
        <w:t xml:space="preserve">Directional Intent</w:t>
      </w:r>
    </w:p>
    <w:p>
      <w:pPr>
        <w:pStyle w:val="Compact"/>
        <w:numPr>
          <w:ilvl w:val="0"/>
          <w:numId w:val="1004"/>
        </w:numPr>
      </w:pPr>
      <w:r>
        <w:t xml:space="preserve">Trend Phase</w:t>
      </w:r>
    </w:p>
    <w:bookmarkEnd w:id="33"/>
    <w:bookmarkStart w:id="34" w:name="contract"/>
    <w:p>
      <w:pPr>
        <w:pStyle w:val="Heading3"/>
      </w:pPr>
      <w:r>
        <w:t xml:space="preserve">Contract</w:t>
      </w:r>
    </w:p>
    <w:p>
      <w:pPr>
        <w:pStyle w:val="FirstParagraph"/>
      </w:pPr>
      <w:r>
        <w:t xml:space="preserve">Must not depend on derivatives or options.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stage-2-execution-timing"/>
    <w:p>
      <w:pPr>
        <w:pStyle w:val="Heading2"/>
      </w:pPr>
      <w:r>
        <w:t xml:space="preserve">Stage 2 — Execution Timing</w:t>
      </w:r>
    </w:p>
    <w:bookmarkStart w:id="36" w:name="inputs-1"/>
    <w:p>
      <w:pPr>
        <w:pStyle w:val="Heading3"/>
      </w:pPr>
      <w:r>
        <w:t xml:space="preserve">Inputs</w:t>
      </w:r>
    </w:p>
    <w:p>
      <w:pPr>
        <w:pStyle w:val="Compact"/>
        <w:numPr>
          <w:ilvl w:val="0"/>
          <w:numId w:val="1005"/>
        </w:numPr>
      </w:pPr>
      <w:r>
        <w:t xml:space="preserve">VWAP</w:t>
      </w:r>
    </w:p>
    <w:p>
      <w:pPr>
        <w:pStyle w:val="Compact"/>
        <w:numPr>
          <w:ilvl w:val="0"/>
          <w:numId w:val="1005"/>
        </w:numPr>
      </w:pPr>
      <w:r>
        <w:t xml:space="preserve">Breakout</w:t>
      </w:r>
    </w:p>
    <w:p>
      <w:pPr>
        <w:pStyle w:val="Compact"/>
        <w:numPr>
          <w:ilvl w:val="0"/>
          <w:numId w:val="1005"/>
        </w:numPr>
      </w:pPr>
      <w:r>
        <w:t xml:space="preserve">Compression</w:t>
      </w:r>
    </w:p>
    <w:p>
      <w:pPr>
        <w:pStyle w:val="Compact"/>
        <w:numPr>
          <w:ilvl w:val="0"/>
          <w:numId w:val="1005"/>
        </w:numPr>
      </w:pPr>
      <w:r>
        <w:t xml:space="preserve">Volume Expansion</w:t>
      </w:r>
    </w:p>
    <w:p>
      <w:pPr>
        <w:pStyle w:val="Compact"/>
        <w:numPr>
          <w:ilvl w:val="0"/>
          <w:numId w:val="1005"/>
        </w:numPr>
      </w:pPr>
      <w:r>
        <w:t xml:space="preserve">Execution Triggers</w:t>
      </w:r>
    </w:p>
    <w:bookmarkEnd w:id="36"/>
    <w:bookmarkStart w:id="37" w:name="outputs-1"/>
    <w:p>
      <w:pPr>
        <w:pStyle w:val="Heading3"/>
      </w:pPr>
      <w:r>
        <w:t xml:space="preserve">Outputs</w:t>
      </w:r>
    </w:p>
    <w:p>
      <w:pPr>
        <w:pStyle w:val="Compact"/>
        <w:numPr>
          <w:ilvl w:val="0"/>
          <w:numId w:val="1006"/>
        </w:numPr>
      </w:pPr>
      <w:r>
        <w:t xml:space="preserve">Execution Score</w:t>
      </w:r>
    </w:p>
    <w:p>
      <w:pPr>
        <w:pStyle w:val="Compact"/>
        <w:numPr>
          <w:ilvl w:val="0"/>
          <w:numId w:val="1006"/>
        </w:numPr>
      </w:pPr>
      <w:r>
        <w:t xml:space="preserve">Execution State</w:t>
      </w:r>
    </w:p>
    <w:bookmarkEnd w:id="37"/>
    <w:bookmarkStart w:id="38" w:name="contract-1"/>
    <w:p>
      <w:pPr>
        <w:pStyle w:val="Heading3"/>
      </w:pPr>
      <w:r>
        <w:t xml:space="preserve">Contract</w:t>
      </w:r>
    </w:p>
    <w:p>
      <w:pPr>
        <w:pStyle w:val="FirstParagraph"/>
      </w:pPr>
      <w:r>
        <w:t xml:space="preserve">Must evaluate timing only.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3" w:name="stage-3-derivative-intelligence"/>
    <w:p>
      <w:pPr>
        <w:pStyle w:val="Heading2"/>
      </w:pPr>
      <w:r>
        <w:t xml:space="preserve">Stage 3 — Derivative Intelligence</w:t>
      </w:r>
    </w:p>
    <w:bookmarkStart w:id="40" w:name="inputs-2"/>
    <w:p>
      <w:pPr>
        <w:pStyle w:val="Heading3"/>
      </w:pPr>
      <w:r>
        <w:t xml:space="preserve">Inputs</w:t>
      </w:r>
    </w:p>
    <w:p>
      <w:pPr>
        <w:pStyle w:val="Compact"/>
        <w:numPr>
          <w:ilvl w:val="0"/>
          <w:numId w:val="1007"/>
        </w:numPr>
      </w:pPr>
      <w:r>
        <w:t xml:space="preserve">OI Structure</w:t>
      </w:r>
    </w:p>
    <w:p>
      <w:pPr>
        <w:pStyle w:val="Compact"/>
        <w:numPr>
          <w:ilvl w:val="0"/>
          <w:numId w:val="1007"/>
        </w:numPr>
      </w:pPr>
      <w:r>
        <w:t xml:space="preserve">OI Build-up</w:t>
      </w:r>
    </w:p>
    <w:p>
      <w:pPr>
        <w:pStyle w:val="Compact"/>
        <w:numPr>
          <w:ilvl w:val="0"/>
          <w:numId w:val="1007"/>
        </w:numPr>
      </w:pPr>
      <w:r>
        <w:t xml:space="preserve">Premium Behaviour</w:t>
      </w:r>
    </w:p>
    <w:p>
      <w:pPr>
        <w:pStyle w:val="Compact"/>
        <w:numPr>
          <w:ilvl w:val="0"/>
          <w:numId w:val="1007"/>
        </w:numPr>
      </w:pPr>
      <w:r>
        <w:t xml:space="preserve">Premium Momentum</w:t>
      </w:r>
    </w:p>
    <w:p>
      <w:pPr>
        <w:pStyle w:val="Compact"/>
        <w:numPr>
          <w:ilvl w:val="0"/>
          <w:numId w:val="1007"/>
        </w:numPr>
      </w:pPr>
      <w:r>
        <w:t xml:space="preserve">Liquidity</w:t>
      </w:r>
    </w:p>
    <w:p>
      <w:pPr>
        <w:pStyle w:val="Compact"/>
        <w:numPr>
          <w:ilvl w:val="0"/>
          <w:numId w:val="1007"/>
        </w:numPr>
      </w:pPr>
      <w:r>
        <w:t xml:space="preserve">Spread</w:t>
      </w:r>
    </w:p>
    <w:p>
      <w:pPr>
        <w:pStyle w:val="Compact"/>
        <w:numPr>
          <w:ilvl w:val="0"/>
          <w:numId w:val="1007"/>
        </w:numPr>
      </w:pPr>
      <w:r>
        <w:t xml:space="preserve">Delta</w:t>
      </w:r>
    </w:p>
    <w:bookmarkEnd w:id="40"/>
    <w:bookmarkStart w:id="41" w:name="outputs-2"/>
    <w:p>
      <w:pPr>
        <w:pStyle w:val="Heading3"/>
      </w:pPr>
      <w:r>
        <w:t xml:space="preserve">Outputs</w:t>
      </w:r>
    </w:p>
    <w:p>
      <w:pPr>
        <w:pStyle w:val="Compact"/>
        <w:numPr>
          <w:ilvl w:val="0"/>
          <w:numId w:val="1008"/>
        </w:numPr>
      </w:pPr>
      <w:r>
        <w:t xml:space="preserve">Derivative Confidence</w:t>
      </w:r>
    </w:p>
    <w:bookmarkEnd w:id="41"/>
    <w:bookmarkStart w:id="42" w:name="contract-2"/>
    <w:p>
      <w:pPr>
        <w:pStyle w:val="Heading3"/>
      </w:pPr>
      <w:r>
        <w:t xml:space="preserve">Contract</w:t>
      </w:r>
    </w:p>
    <w:p>
      <w:pPr>
        <w:pStyle w:val="FirstParagraph"/>
      </w:pPr>
      <w:r>
        <w:t xml:space="preserve">Determines whether the derivatives market confirms the directional thesis.</w:t>
      </w:r>
    </w:p>
    <w:p>
      <w:pPr>
        <w:pStyle w:val="BodyText"/>
      </w:pPr>
      <w:r>
        <w:t xml:space="preserve">Must not evaluate option pricing.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53" w:name="stage-3.5-option-intelligence"/>
    <w:p>
      <w:pPr>
        <w:pStyle w:val="Heading2"/>
      </w:pPr>
      <w:r>
        <w:t xml:space="preserve">Stage 3.5 — Option Intelligence</w:t>
      </w:r>
    </w:p>
    <w:bookmarkStart w:id="44" w:name="purpose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Evaluate the option contract independently of direction.</w:t>
      </w:r>
    </w:p>
    <w:bookmarkEnd w:id="44"/>
    <w:bookmarkStart w:id="50" w:name="inputs-3"/>
    <w:p>
      <w:pPr>
        <w:pStyle w:val="Heading3"/>
      </w:pPr>
      <w:r>
        <w:t xml:space="preserve">Inputs</w:t>
      </w:r>
    </w:p>
    <w:bookmarkStart w:id="45" w:name="market-context"/>
    <w:p>
      <w:pPr>
        <w:pStyle w:val="Heading4"/>
      </w:pPr>
      <w:r>
        <w:t xml:space="preserve">Market Context</w:t>
      </w:r>
    </w:p>
    <w:p>
      <w:pPr>
        <w:pStyle w:val="Compact"/>
        <w:numPr>
          <w:ilvl w:val="0"/>
          <w:numId w:val="1009"/>
        </w:numPr>
      </w:pPr>
      <w:r>
        <w:t xml:space="preserve">India VIX</w:t>
      </w:r>
    </w:p>
    <w:bookmarkEnd w:id="45"/>
    <w:bookmarkStart w:id="46" w:name="valuation"/>
    <w:p>
      <w:pPr>
        <w:pStyle w:val="Heading4"/>
      </w:pPr>
      <w:r>
        <w:t xml:space="preserve">Valuation</w:t>
      </w:r>
    </w:p>
    <w:p>
      <w:pPr>
        <w:pStyle w:val="Compact"/>
        <w:numPr>
          <w:ilvl w:val="0"/>
          <w:numId w:val="1010"/>
        </w:numPr>
      </w:pPr>
      <w:r>
        <w:t xml:space="preserve">Current IV</w:t>
      </w:r>
    </w:p>
    <w:p>
      <w:pPr>
        <w:pStyle w:val="Compact"/>
        <w:numPr>
          <w:ilvl w:val="0"/>
          <w:numId w:val="1010"/>
        </w:numPr>
      </w:pPr>
      <w:r>
        <w:t xml:space="preserve">IV Rank</w:t>
      </w:r>
    </w:p>
    <w:p>
      <w:pPr>
        <w:pStyle w:val="Compact"/>
        <w:numPr>
          <w:ilvl w:val="0"/>
          <w:numId w:val="1010"/>
        </w:numPr>
      </w:pPr>
      <w:r>
        <w:t xml:space="preserve">IV Percentile</w:t>
      </w:r>
    </w:p>
    <w:bookmarkEnd w:id="46"/>
    <w:bookmarkStart w:id="47" w:name="volatility-behaviour"/>
    <w:p>
      <w:pPr>
        <w:pStyle w:val="Heading4"/>
      </w:pPr>
      <w:r>
        <w:t xml:space="preserve">Volatility Behaviour</w:t>
      </w:r>
    </w:p>
    <w:p>
      <w:pPr>
        <w:pStyle w:val="Compact"/>
        <w:numPr>
          <w:ilvl w:val="0"/>
          <w:numId w:val="1011"/>
        </w:numPr>
      </w:pPr>
      <w:r>
        <w:t xml:space="preserve">IV Trend</w:t>
      </w:r>
    </w:p>
    <w:p>
      <w:pPr>
        <w:pStyle w:val="Compact"/>
        <w:numPr>
          <w:ilvl w:val="0"/>
          <w:numId w:val="1011"/>
        </w:numPr>
      </w:pPr>
      <w:r>
        <w:t xml:space="preserve">IV Expansion Rate</w:t>
      </w:r>
    </w:p>
    <w:p>
      <w:pPr>
        <w:pStyle w:val="Compact"/>
        <w:numPr>
          <w:ilvl w:val="0"/>
          <w:numId w:val="1011"/>
        </w:numPr>
      </w:pPr>
      <w:r>
        <w:t xml:space="preserve">IV Compression</w:t>
      </w:r>
    </w:p>
    <w:bookmarkEnd w:id="47"/>
    <w:bookmarkStart w:id="48" w:name="pricing"/>
    <w:p>
      <w:pPr>
        <w:pStyle w:val="Heading4"/>
      </w:pPr>
      <w:r>
        <w:t xml:space="preserve">Pricing</w:t>
      </w:r>
    </w:p>
    <w:p>
      <w:pPr>
        <w:pStyle w:val="Compact"/>
        <w:numPr>
          <w:ilvl w:val="0"/>
          <w:numId w:val="1012"/>
        </w:numPr>
      </w:pPr>
      <w:r>
        <w:t xml:space="preserve">IV Expected Move</w:t>
      </w:r>
    </w:p>
    <w:p>
      <w:pPr>
        <w:pStyle w:val="Compact"/>
        <w:numPr>
          <w:ilvl w:val="0"/>
          <w:numId w:val="1012"/>
        </w:numPr>
      </w:pPr>
      <w:r>
        <w:t xml:space="preserve">ATR Expected Move</w:t>
      </w:r>
    </w:p>
    <w:p>
      <w:pPr>
        <w:pStyle w:val="Compact"/>
        <w:numPr>
          <w:ilvl w:val="0"/>
          <w:numId w:val="1012"/>
        </w:numPr>
      </w:pPr>
      <w:r>
        <w:t xml:space="preserve">Technical Target</w:t>
      </w:r>
    </w:p>
    <w:p>
      <w:pPr>
        <w:pStyle w:val="Compact"/>
        <w:numPr>
          <w:ilvl w:val="0"/>
          <w:numId w:val="1012"/>
        </w:numPr>
      </w:pPr>
      <w:r>
        <w:t xml:space="preserve">Expected Move Coverage</w:t>
      </w:r>
    </w:p>
    <w:bookmarkEnd w:id="48"/>
    <w:bookmarkStart w:id="49" w:name="structure"/>
    <w:p>
      <w:pPr>
        <w:pStyle w:val="Heading4"/>
      </w:pPr>
      <w:r>
        <w:t xml:space="preserve">Structure</w:t>
      </w:r>
    </w:p>
    <w:p>
      <w:pPr>
        <w:pStyle w:val="Compact"/>
        <w:numPr>
          <w:ilvl w:val="0"/>
          <w:numId w:val="1013"/>
        </w:numPr>
      </w:pPr>
      <w:r>
        <w:t xml:space="preserve">IV Skew</w:t>
      </w:r>
    </w:p>
    <w:p>
      <w:pPr>
        <w:pStyle w:val="Compact"/>
        <w:numPr>
          <w:ilvl w:val="0"/>
          <w:numId w:val="1013"/>
        </w:numPr>
      </w:pPr>
      <w:r>
        <w:t xml:space="preserve">Term Structure</w:t>
      </w:r>
    </w:p>
    <w:bookmarkEnd w:id="49"/>
    <w:bookmarkEnd w:id="50"/>
    <w:bookmarkStart w:id="51" w:name="outputs-3"/>
    <w:p>
      <w:pPr>
        <w:pStyle w:val="Heading3"/>
      </w:pPr>
      <w:r>
        <w:t xml:space="preserve">Outputs</w:t>
      </w:r>
    </w:p>
    <w:p>
      <w:pPr>
        <w:pStyle w:val="Compact"/>
        <w:numPr>
          <w:ilvl w:val="0"/>
          <w:numId w:val="1014"/>
        </w:numPr>
      </w:pPr>
      <w:r>
        <w:t xml:space="preserve">Option Intelligence Score</w:t>
      </w:r>
    </w:p>
    <w:p>
      <w:pPr>
        <w:pStyle w:val="Compact"/>
        <w:numPr>
          <w:ilvl w:val="0"/>
          <w:numId w:val="1014"/>
        </w:numPr>
      </w:pPr>
      <w:r>
        <w:t xml:space="preserve">Option Valuation Status</w:t>
      </w:r>
    </w:p>
    <w:p>
      <w:pPr>
        <w:pStyle w:val="Compact"/>
        <w:numPr>
          <w:ilvl w:val="0"/>
          <w:numId w:val="1014"/>
        </w:numPr>
      </w:pPr>
      <w:r>
        <w:t xml:space="preserve">Expected Move Coverage</w:t>
      </w:r>
    </w:p>
    <w:p>
      <w:pPr>
        <w:pStyle w:val="Compact"/>
        <w:numPr>
          <w:ilvl w:val="0"/>
          <w:numId w:val="1014"/>
        </w:numPr>
      </w:pPr>
      <w:r>
        <w:t xml:space="preserve">IV Warnings</w:t>
      </w:r>
    </w:p>
    <w:bookmarkEnd w:id="51"/>
    <w:bookmarkStart w:id="52" w:name="responsibilities"/>
    <w:p>
      <w:pPr>
        <w:pStyle w:val="Heading3"/>
      </w:pPr>
      <w:r>
        <w:t xml:space="preserve">Responsibilities</w:t>
      </w:r>
    </w:p>
    <w:p>
      <w:pPr>
        <w:pStyle w:val="FirstParagraph"/>
      </w:pPr>
      <w:r>
        <w:t xml:space="preserve">Determine whether the option itself is attractive to purchase.</w:t>
      </w:r>
    </w:p>
    <w:p>
      <w:pPr>
        <w:pStyle w:val="BodyText"/>
      </w:pPr>
      <w:r>
        <w:t xml:space="preserve">No directional logic.</w:t>
      </w:r>
    </w:p>
    <w:p>
      <w:pPr>
        <w:pStyle w:val="BodyText"/>
      </w:pPr>
      <w:r>
        <w:t xml:space="preserve">No execution logic.</w:t>
      </w:r>
    </w:p>
    <w:p>
      <w:pPr>
        <w:pStyle w:val="BodyText"/>
      </w:pPr>
      <w:r>
        <w:t xml:space="preserve">No recommendation generation.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7" w:name="stage-4-risk-intelligence"/>
    <w:p>
      <w:pPr>
        <w:pStyle w:val="Heading2"/>
      </w:pPr>
      <w:r>
        <w:t xml:space="preserve">Stage 4 — Risk Intelligence</w:t>
      </w:r>
    </w:p>
    <w:bookmarkStart w:id="54" w:name="inputs-4"/>
    <w:p>
      <w:pPr>
        <w:pStyle w:val="Heading3"/>
      </w:pPr>
      <w:r>
        <w:t xml:space="preserve">Inputs</w:t>
      </w:r>
    </w:p>
    <w:p>
      <w:pPr>
        <w:pStyle w:val="Compact"/>
        <w:numPr>
          <w:ilvl w:val="0"/>
          <w:numId w:val="1015"/>
        </w:numPr>
      </w:pPr>
      <w:r>
        <w:t xml:space="preserve">Theta Risk</w:t>
      </w:r>
    </w:p>
    <w:p>
      <w:pPr>
        <w:pStyle w:val="Compact"/>
        <w:numPr>
          <w:ilvl w:val="0"/>
          <w:numId w:val="1015"/>
        </w:numPr>
      </w:pPr>
      <w:r>
        <w:t xml:space="preserve">Event Risk</w:t>
      </w:r>
    </w:p>
    <w:p>
      <w:pPr>
        <w:pStyle w:val="Compact"/>
        <w:numPr>
          <w:ilvl w:val="0"/>
          <w:numId w:val="1015"/>
        </w:numPr>
      </w:pPr>
      <w:r>
        <w:t xml:space="preserve">OI Corridor</w:t>
      </w:r>
    </w:p>
    <w:p>
      <w:pPr>
        <w:pStyle w:val="Compact"/>
        <w:numPr>
          <w:ilvl w:val="0"/>
          <w:numId w:val="1015"/>
        </w:numPr>
      </w:pPr>
      <w:r>
        <w:t xml:space="preserve">Liquidity Risk</w:t>
      </w:r>
    </w:p>
    <w:p>
      <w:pPr>
        <w:pStyle w:val="Compact"/>
        <w:numPr>
          <w:ilvl w:val="0"/>
          <w:numId w:val="1015"/>
        </w:numPr>
      </w:pPr>
      <w:r>
        <w:t xml:space="preserve">Stop Quality</w:t>
      </w:r>
    </w:p>
    <w:p>
      <w:pPr>
        <w:pStyle w:val="Compact"/>
        <w:numPr>
          <w:ilvl w:val="0"/>
          <w:numId w:val="1015"/>
        </w:numPr>
      </w:pPr>
      <w:r>
        <w:t xml:space="preserve">Risk/Reward</w:t>
      </w:r>
    </w:p>
    <w:p>
      <w:pPr>
        <w:pStyle w:val="Compact"/>
        <w:numPr>
          <w:ilvl w:val="0"/>
          <w:numId w:val="1015"/>
        </w:numPr>
      </w:pPr>
      <w:r>
        <w:t xml:space="preserve">Trade Survival</w:t>
      </w:r>
    </w:p>
    <w:bookmarkEnd w:id="54"/>
    <w:bookmarkStart w:id="55" w:name="outputs-4"/>
    <w:p>
      <w:pPr>
        <w:pStyle w:val="Heading3"/>
      </w:pPr>
      <w:r>
        <w:t xml:space="preserve">Outputs</w:t>
      </w:r>
    </w:p>
    <w:p>
      <w:pPr>
        <w:pStyle w:val="Compact"/>
        <w:numPr>
          <w:ilvl w:val="0"/>
          <w:numId w:val="1016"/>
        </w:numPr>
      </w:pPr>
      <w:r>
        <w:t xml:space="preserve">Risk Quality</w:t>
      </w:r>
    </w:p>
    <w:p>
      <w:pPr>
        <w:pStyle w:val="Compact"/>
        <w:numPr>
          <w:ilvl w:val="0"/>
          <w:numId w:val="1016"/>
        </w:numPr>
      </w:pPr>
      <w:r>
        <w:t xml:space="preserve">Risk Warnings</w:t>
      </w:r>
    </w:p>
    <w:bookmarkEnd w:id="55"/>
    <w:bookmarkStart w:id="56" w:name="responsibilities-1"/>
    <w:p>
      <w:pPr>
        <w:pStyle w:val="Heading3"/>
      </w:pPr>
      <w:r>
        <w:t xml:space="preserve">Responsibilities</w:t>
      </w:r>
    </w:p>
    <w:p>
      <w:pPr>
        <w:pStyle w:val="FirstParagraph"/>
      </w:pPr>
      <w:r>
        <w:t xml:space="preserve">Assess survivability of the trade after entry.</w:t>
      </w:r>
    </w:p>
    <w:p>
      <w:pPr>
        <w:pStyle w:val="BodyText"/>
      </w:pPr>
      <w:r>
        <w:t xml:space="preserve">Risk Intelligence intentionally excludes option valuation.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0" w:name="stage-5-opportunity-engine"/>
    <w:p>
      <w:pPr>
        <w:pStyle w:val="Heading2"/>
      </w:pPr>
      <w:r>
        <w:t xml:space="preserve">Stage 5 — Opportunity Engine</w:t>
      </w:r>
    </w:p>
    <w:bookmarkStart w:id="58" w:name="inputs-5"/>
    <w:p>
      <w:pPr>
        <w:pStyle w:val="Heading3"/>
      </w:pPr>
      <w:r>
        <w:t xml:space="preserve">Inputs</w:t>
      </w:r>
    </w:p>
    <w:p>
      <w:pPr>
        <w:pStyle w:val="Compact"/>
        <w:numPr>
          <w:ilvl w:val="0"/>
          <w:numId w:val="1017"/>
        </w:numPr>
      </w:pPr>
      <w:r>
        <w:t xml:space="preserve">Trend Score</w:t>
      </w:r>
    </w:p>
    <w:p>
      <w:pPr>
        <w:pStyle w:val="Compact"/>
        <w:numPr>
          <w:ilvl w:val="0"/>
          <w:numId w:val="1017"/>
        </w:numPr>
      </w:pPr>
      <w:r>
        <w:t xml:space="preserve">Execution Score</w:t>
      </w:r>
    </w:p>
    <w:p>
      <w:pPr>
        <w:pStyle w:val="Compact"/>
        <w:numPr>
          <w:ilvl w:val="0"/>
          <w:numId w:val="1017"/>
        </w:numPr>
      </w:pPr>
      <w:r>
        <w:t xml:space="preserve">Derivative Confidence</w:t>
      </w:r>
    </w:p>
    <w:p>
      <w:pPr>
        <w:pStyle w:val="Compact"/>
        <w:numPr>
          <w:ilvl w:val="0"/>
          <w:numId w:val="1017"/>
        </w:numPr>
      </w:pPr>
      <w:r>
        <w:t xml:space="preserve">Option Intelligence Score</w:t>
      </w:r>
    </w:p>
    <w:p>
      <w:pPr>
        <w:pStyle w:val="Compact"/>
        <w:numPr>
          <w:ilvl w:val="0"/>
          <w:numId w:val="1017"/>
        </w:numPr>
      </w:pPr>
      <w:r>
        <w:t xml:space="preserve">Risk Quality</w:t>
      </w:r>
    </w:p>
    <w:bookmarkEnd w:id="58"/>
    <w:bookmarkStart w:id="59" w:name="responsibilities-2"/>
    <w:p>
      <w:pPr>
        <w:pStyle w:val="Heading3"/>
      </w:pPr>
      <w:r>
        <w:t xml:space="preserve">Responsibilities</w:t>
      </w:r>
    </w:p>
    <w:p>
      <w:pPr>
        <w:pStyle w:val="Compact"/>
        <w:numPr>
          <w:ilvl w:val="0"/>
          <w:numId w:val="1018"/>
        </w:numPr>
      </w:pPr>
      <w:r>
        <w:t xml:space="preserve">Compute Opportunity Score</w:t>
      </w:r>
    </w:p>
    <w:p>
      <w:pPr>
        <w:pStyle w:val="Compact"/>
        <w:numPr>
          <w:ilvl w:val="0"/>
          <w:numId w:val="1018"/>
        </w:numPr>
      </w:pPr>
      <w:r>
        <w:t xml:space="preserve">Apply hard gates</w:t>
      </w:r>
    </w:p>
    <w:p>
      <w:pPr>
        <w:pStyle w:val="Compact"/>
        <w:numPr>
          <w:ilvl w:val="0"/>
          <w:numId w:val="1018"/>
        </w:numPr>
      </w:pPr>
      <w:r>
        <w:t xml:space="preserve">Generate recommendation</w:t>
      </w:r>
    </w:p>
    <w:p>
      <w:pPr>
        <w:pStyle w:val="Compact"/>
        <w:numPr>
          <w:ilvl w:val="0"/>
          <w:numId w:val="1018"/>
        </w:numPr>
      </w:pPr>
      <w:r>
        <w:t xml:space="preserve">Select strike</w:t>
      </w:r>
    </w:p>
    <w:p>
      <w:pPr>
        <w:pStyle w:val="Compact"/>
        <w:numPr>
          <w:ilvl w:val="0"/>
          <w:numId w:val="1018"/>
        </w:numPr>
      </w:pPr>
      <w:r>
        <w:t xml:space="preserve">Select expiry</w:t>
      </w:r>
    </w:p>
    <w:p>
      <w:pPr>
        <w:pStyle w:val="Compact"/>
        <w:numPr>
          <w:ilvl w:val="0"/>
          <w:numId w:val="1018"/>
        </w:numPr>
      </w:pPr>
      <w:r>
        <w:t xml:space="preserve">Produce reason codes</w:t>
      </w:r>
    </w:p>
    <w:p>
      <w:pPr>
        <w:pStyle w:val="Compact"/>
        <w:numPr>
          <w:ilvl w:val="0"/>
          <w:numId w:val="1018"/>
        </w:numPr>
      </w:pPr>
      <w:r>
        <w:t xml:space="preserve">Support future position sizing</w:t>
      </w:r>
    </w:p>
    <w:p>
      <w:r>
        <w:pict>
          <v:rect style="width:0;height:1.5pt" o:hralign="center" o:hrstd="t" o:hr="t"/>
        </w:pict>
      </w:r>
    </w:p>
    <w:bookmarkEnd w:id="59"/>
    <w:bookmarkEnd w:id="60"/>
    <w:bookmarkEnd w:id="61"/>
    <w:bookmarkStart w:id="62" w:name="data-contracts"/>
    <w:p>
      <w:pPr>
        <w:pStyle w:val="Heading1"/>
      </w:pPr>
      <w:r>
        <w:t xml:space="preserve">8. Data Contracts</w:t>
      </w:r>
    </w:p>
    <w:p>
      <w:pPr>
        <w:pStyle w:val="FirstParagraph"/>
      </w:pPr>
      <w:r>
        <w:t xml:space="preserve">Every stage publishes immutable outputs.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NormalTok"/>
        </w:rPr>
        <w:t xml:space="preserve">TrendResult</w:t>
      </w:r>
      <w:r>
        <w:br/>
      </w:r>
      <w:r>
        <w:br/>
      </w:r>
      <w:r>
        <w:rPr>
          <w:rStyle w:val="NormalTok"/>
        </w:rPr>
        <w:t xml:space="preserve">ExecutionResult</w:t>
      </w:r>
      <w:r>
        <w:br/>
      </w:r>
      <w:r>
        <w:br/>
      </w:r>
      <w:r>
        <w:rPr>
          <w:rStyle w:val="NormalTok"/>
        </w:rPr>
        <w:t xml:space="preserve">DerivativeResult</w:t>
      </w:r>
      <w:r>
        <w:br/>
      </w:r>
      <w:r>
        <w:br/>
      </w:r>
      <w:r>
        <w:rPr>
          <w:rStyle w:val="NormalTok"/>
        </w:rPr>
        <w:t xml:space="preserve">OptionIntelligenceResult</w:t>
      </w:r>
      <w:r>
        <w:br/>
      </w:r>
      <w:r>
        <w:br/>
      </w:r>
      <w:r>
        <w:rPr>
          <w:rStyle w:val="NormalTok"/>
        </w:rPr>
        <w:t xml:space="preserve">RiskResult</w:t>
      </w:r>
      <w:r>
        <w:br/>
      </w:r>
      <w:r>
        <w:br/>
      </w:r>
      <w:r>
        <w:rPr>
          <w:rStyle w:val="NormalTok"/>
        </w:rPr>
        <w:t xml:space="preserve">OpportunityResult</w:t>
      </w:r>
    </w:p>
    <w:p>
      <w:pPr>
        <w:pStyle w:val="FirstParagraph"/>
      </w:pPr>
      <w:r>
        <w:t xml:space="preserve">No stage modifies upstream outputs.</w:t>
      </w:r>
    </w:p>
    <w:p>
      <w:pPr>
        <w:pStyle w:val="BodyText"/>
      </w:pPr>
      <w:r>
        <w:t xml:space="preserve">All contracts are append-only.</w:t>
      </w:r>
    </w:p>
    <w:p>
      <w:r>
        <w:pict>
          <v:rect style="width:0;height:1.5pt" o:hralign="center" o:hrstd="t" o:hr="t"/>
        </w:pict>
      </w:r>
    </w:p>
    <w:bookmarkEnd w:id="62"/>
    <w:bookmarkStart w:id="63" w:name="decision-flow"/>
    <w:p>
      <w:pPr>
        <w:pStyle w:val="Heading1"/>
      </w:pPr>
      <w:r>
        <w:t xml:space="preserve">9. Decision Flow</w:t>
      </w:r>
    </w:p>
    <w:p>
      <w:pPr>
        <w:pStyle w:val="SourceCode"/>
      </w:pPr>
      <w:r>
        <w:rPr>
          <w:rStyle w:val="VerbatimChar"/>
        </w:rPr>
        <w:t xml:space="preserve">Price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Trend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Execution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Derivatives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Option Contract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Risk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Decision</w:t>
      </w:r>
    </w:p>
    <w:p>
      <w:pPr>
        <w:pStyle w:val="FirstParagraph"/>
      </w:pPr>
      <w:r>
        <w:t xml:space="preserve">This sequence intentionally mirrors institutional trading workflows.</w:t>
      </w:r>
    </w:p>
    <w:p>
      <w:r>
        <w:pict>
          <v:rect style="width:0;height:1.5pt" o:hralign="center" o:hrstd="t" o:hr="t"/>
        </w:pict>
      </w:r>
    </w:p>
    <w:bookmarkEnd w:id="63"/>
    <w:bookmarkStart w:id="64" w:name="hard-gate-policy"/>
    <w:p>
      <w:pPr>
        <w:pStyle w:val="Heading1"/>
      </w:pPr>
      <w:r>
        <w:t xml:space="preserve">10. Hard Gate Policy</w:t>
      </w:r>
    </w:p>
    <w:p>
      <w:pPr>
        <w:pStyle w:val="FirstParagraph"/>
      </w:pPr>
      <w:r>
        <w:t xml:space="preserve">Hard gates exist outside the scoring framework.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19"/>
        </w:numPr>
      </w:pPr>
      <w:r>
        <w:t xml:space="preserve">F&amp;O Ban</w:t>
      </w:r>
    </w:p>
    <w:p>
      <w:pPr>
        <w:pStyle w:val="Compact"/>
        <w:numPr>
          <w:ilvl w:val="0"/>
          <w:numId w:val="1019"/>
        </w:numPr>
      </w:pPr>
      <w:r>
        <w:t xml:space="preserve">Data Integrity Failure</w:t>
      </w:r>
    </w:p>
    <w:p>
      <w:pPr>
        <w:pStyle w:val="Compact"/>
        <w:numPr>
          <w:ilvl w:val="0"/>
          <w:numId w:val="1019"/>
        </w:numPr>
      </w:pPr>
      <w:r>
        <w:t xml:space="preserve">Extreme Spread</w:t>
      </w:r>
    </w:p>
    <w:p>
      <w:pPr>
        <w:pStyle w:val="Compact"/>
        <w:numPr>
          <w:ilvl w:val="0"/>
          <w:numId w:val="1019"/>
        </w:numPr>
      </w:pPr>
      <w:r>
        <w:t xml:space="preserve">Severe Liquidity Failure</w:t>
      </w:r>
    </w:p>
    <w:p>
      <w:pPr>
        <w:pStyle w:val="Compact"/>
        <w:numPr>
          <w:ilvl w:val="0"/>
          <w:numId w:val="1019"/>
        </w:numPr>
      </w:pPr>
      <w:r>
        <w:t xml:space="preserve">Event Lockout</w:t>
      </w:r>
    </w:p>
    <w:p>
      <w:pPr>
        <w:pStyle w:val="Compact"/>
        <w:numPr>
          <w:ilvl w:val="0"/>
          <w:numId w:val="1019"/>
        </w:numPr>
      </w:pPr>
      <w:r>
        <w:t xml:space="preserve">Extreme IV Crush Risk</w:t>
      </w:r>
    </w:p>
    <w:p>
      <w:pPr>
        <w:pStyle w:val="FirstParagraph"/>
      </w:pPr>
      <w:r>
        <w:t xml:space="preserve">Hard gates override recommendations but never alter evidence scores.</w:t>
      </w:r>
    </w:p>
    <w:p>
      <w:r>
        <w:pict>
          <v:rect style="width:0;height:1.5pt" o:hralign="center" o:hrstd="t" o:hr="t"/>
        </w:pict>
      </w:r>
    </w:p>
    <w:bookmarkEnd w:id="64"/>
    <w:bookmarkStart w:id="65" w:name="explainability-requirements"/>
    <w:p>
      <w:pPr>
        <w:pStyle w:val="Heading1"/>
      </w:pPr>
      <w:r>
        <w:t xml:space="preserve">11. Explainability Requirements</w:t>
      </w:r>
    </w:p>
    <w:p>
      <w:pPr>
        <w:pStyle w:val="FirstParagraph"/>
      </w:pPr>
      <w:r>
        <w:t xml:space="preserve">Every recommendation must be decomposable into:</w:t>
      </w:r>
    </w:p>
    <w:p>
      <w:pPr>
        <w:pStyle w:val="SourceCode"/>
      </w:pPr>
      <w:r>
        <w:rPr>
          <w:rStyle w:val="VerbatimChar"/>
        </w:rPr>
        <w:t xml:space="preserve">Trend</w:t>
      </w:r>
      <w:r>
        <w:br/>
      </w:r>
      <w:r>
        <w:br/>
      </w:r>
      <w:r>
        <w:rPr>
          <w:rStyle w:val="VerbatimChar"/>
        </w:rPr>
        <w:t xml:space="preserve">Execution</w:t>
      </w:r>
      <w:r>
        <w:br/>
      </w:r>
      <w:r>
        <w:br/>
      </w:r>
      <w:r>
        <w:rPr>
          <w:rStyle w:val="VerbatimChar"/>
        </w:rPr>
        <w:t xml:space="preserve">Derivatives</w:t>
      </w:r>
      <w:r>
        <w:br/>
      </w:r>
      <w:r>
        <w:br/>
      </w:r>
      <w:r>
        <w:rPr>
          <w:rStyle w:val="VerbatimChar"/>
        </w:rPr>
        <w:t xml:space="preserve">Option Intelligence</w:t>
      </w:r>
      <w:r>
        <w:br/>
      </w:r>
      <w:r>
        <w:br/>
      </w:r>
      <w:r>
        <w:rPr>
          <w:rStyle w:val="VerbatimChar"/>
        </w:rPr>
        <w:t xml:space="preserve">Risk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Opportunity</w:t>
      </w:r>
    </w:p>
    <w:p>
      <w:pPr>
        <w:pStyle w:val="FirstParagraph"/>
      </w:pPr>
      <w:r>
        <w:t xml:space="preserve">The engine must explain:</w:t>
      </w:r>
    </w:p>
    <w:p>
      <w:pPr>
        <w:pStyle w:val="Compact"/>
        <w:numPr>
          <w:ilvl w:val="0"/>
          <w:numId w:val="1020"/>
        </w:numPr>
      </w:pPr>
      <w:r>
        <w:t xml:space="preserve">why a trade passed,</w:t>
      </w:r>
    </w:p>
    <w:p>
      <w:pPr>
        <w:pStyle w:val="Compact"/>
        <w:numPr>
          <w:ilvl w:val="0"/>
          <w:numId w:val="1020"/>
        </w:numPr>
      </w:pPr>
      <w:r>
        <w:t xml:space="preserve">why it failed,</w:t>
      </w:r>
    </w:p>
    <w:p>
      <w:pPr>
        <w:pStyle w:val="Compact"/>
        <w:numPr>
          <w:ilvl w:val="0"/>
          <w:numId w:val="1020"/>
        </w:numPr>
      </w:pPr>
      <w:r>
        <w:t xml:space="preserve">why it was downgraded,</w:t>
      </w:r>
    </w:p>
    <w:p>
      <w:pPr>
        <w:pStyle w:val="Compact"/>
        <w:numPr>
          <w:ilvl w:val="0"/>
          <w:numId w:val="1020"/>
        </w:numPr>
      </w:pPr>
      <w:r>
        <w:t xml:space="preserve">why it was promoted.</w:t>
      </w:r>
    </w:p>
    <w:p>
      <w:pPr>
        <w:pStyle w:val="FirstParagraph"/>
      </w:pPr>
      <w:r>
        <w:t xml:space="preserve">No score may act as an opaque black box.</w:t>
      </w:r>
    </w:p>
    <w:p>
      <w:r>
        <w:pict>
          <v:rect style="width:0;height:1.5pt" o:hralign="center" o:hrstd="t" o:hr="t"/>
        </w:pict>
      </w:r>
    </w:p>
    <w:bookmarkEnd w:id="65"/>
    <w:bookmarkStart w:id="72" w:name="extension-strategy"/>
    <w:p>
      <w:pPr>
        <w:pStyle w:val="Heading1"/>
      </w:pPr>
      <w:r>
        <w:t xml:space="preserve">12. Extension Strategy</w:t>
      </w:r>
    </w:p>
    <w:p>
      <w:pPr>
        <w:pStyle w:val="FirstParagraph"/>
      </w:pPr>
      <w:r>
        <w:t xml:space="preserve">The architecture is intentionally modular.</w:t>
      </w:r>
    </w:p>
    <w:p>
      <w:pPr>
        <w:pStyle w:val="BodyText"/>
      </w:pPr>
      <w:r>
        <w:t xml:space="preserve">Future enhancements include:</w:t>
      </w:r>
    </w:p>
    <w:bookmarkStart w:id="66" w:name="trend"/>
    <w:p>
      <w:pPr>
        <w:pStyle w:val="Heading3"/>
      </w:pPr>
      <w:r>
        <w:t xml:space="preserve">Trend</w:t>
      </w:r>
    </w:p>
    <w:p>
      <w:pPr>
        <w:pStyle w:val="Compact"/>
        <w:numPr>
          <w:ilvl w:val="0"/>
          <w:numId w:val="1021"/>
        </w:numPr>
      </w:pPr>
      <w:r>
        <w:t xml:space="preserve">Market Breadth</w:t>
      </w:r>
    </w:p>
    <w:p>
      <w:pPr>
        <w:pStyle w:val="Compact"/>
        <w:numPr>
          <w:ilvl w:val="0"/>
          <w:numId w:val="1021"/>
        </w:numPr>
      </w:pPr>
      <w:r>
        <w:t xml:space="preserve">Regime Detection</w:t>
      </w:r>
    </w:p>
    <w:bookmarkEnd w:id="66"/>
    <w:bookmarkStart w:id="67" w:name="execution"/>
    <w:p>
      <w:pPr>
        <w:pStyle w:val="Heading3"/>
      </w:pPr>
      <w:r>
        <w:t xml:space="preserve">Execution</w:t>
      </w:r>
    </w:p>
    <w:p>
      <w:pPr>
        <w:pStyle w:val="Compact"/>
        <w:numPr>
          <w:ilvl w:val="0"/>
          <w:numId w:val="1022"/>
        </w:numPr>
      </w:pPr>
      <w:r>
        <w:t xml:space="preserve">Order Blocks</w:t>
      </w:r>
    </w:p>
    <w:p>
      <w:pPr>
        <w:pStyle w:val="Compact"/>
        <w:numPr>
          <w:ilvl w:val="0"/>
          <w:numId w:val="1022"/>
        </w:numPr>
      </w:pPr>
      <w:r>
        <w:t xml:space="preserve">Liquidity Sweeps</w:t>
      </w:r>
    </w:p>
    <w:bookmarkEnd w:id="67"/>
    <w:bookmarkStart w:id="68" w:name="derivatives"/>
    <w:p>
      <w:pPr>
        <w:pStyle w:val="Heading3"/>
      </w:pPr>
      <w:r>
        <w:t xml:space="preserve">Derivatives</w:t>
      </w:r>
    </w:p>
    <w:p>
      <w:pPr>
        <w:pStyle w:val="Compact"/>
        <w:numPr>
          <w:ilvl w:val="0"/>
          <w:numId w:val="1023"/>
        </w:numPr>
      </w:pPr>
      <w:r>
        <w:t xml:space="preserve">Dealer Gamma</w:t>
      </w:r>
    </w:p>
    <w:p>
      <w:pPr>
        <w:pStyle w:val="Compact"/>
        <w:numPr>
          <w:ilvl w:val="0"/>
          <w:numId w:val="1023"/>
        </w:numPr>
      </w:pPr>
      <w:r>
        <w:t xml:space="preserve">Gamma Exposure</w:t>
      </w:r>
    </w:p>
    <w:p>
      <w:pPr>
        <w:pStyle w:val="Compact"/>
        <w:numPr>
          <w:ilvl w:val="0"/>
          <w:numId w:val="1023"/>
        </w:numPr>
      </w:pPr>
      <w:r>
        <w:t xml:space="preserve">Advanced PCR</w:t>
      </w:r>
    </w:p>
    <w:bookmarkEnd w:id="68"/>
    <w:bookmarkStart w:id="69" w:name="option-intelligence"/>
    <w:p>
      <w:pPr>
        <w:pStyle w:val="Heading3"/>
      </w:pPr>
      <w:r>
        <w:t xml:space="preserve">Option Intelligence</w:t>
      </w:r>
    </w:p>
    <w:p>
      <w:pPr>
        <w:pStyle w:val="Compact"/>
        <w:numPr>
          <w:ilvl w:val="0"/>
          <w:numId w:val="1024"/>
        </w:numPr>
      </w:pPr>
      <w:r>
        <w:t xml:space="preserve">IV Surface</w:t>
      </w:r>
    </w:p>
    <w:p>
      <w:pPr>
        <w:pStyle w:val="Compact"/>
        <w:numPr>
          <w:ilvl w:val="0"/>
          <w:numId w:val="1024"/>
        </w:numPr>
      </w:pPr>
      <w:r>
        <w:t xml:space="preserve">Smile Analysis</w:t>
      </w:r>
    </w:p>
    <w:p>
      <w:pPr>
        <w:pStyle w:val="Compact"/>
        <w:numPr>
          <w:ilvl w:val="0"/>
          <w:numId w:val="1024"/>
        </w:numPr>
      </w:pPr>
      <w:r>
        <w:t xml:space="preserve">Vega Exposure</w:t>
      </w:r>
    </w:p>
    <w:p>
      <w:pPr>
        <w:pStyle w:val="Compact"/>
        <w:numPr>
          <w:ilvl w:val="0"/>
          <w:numId w:val="1024"/>
        </w:numPr>
      </w:pPr>
      <w:r>
        <w:t xml:space="preserve">Volatility Regime</w:t>
      </w:r>
    </w:p>
    <w:p>
      <w:pPr>
        <w:pStyle w:val="Compact"/>
        <w:numPr>
          <w:ilvl w:val="0"/>
          <w:numId w:val="1024"/>
        </w:numPr>
      </w:pPr>
      <w:r>
        <w:t xml:space="preserve">Cross-Expiry Comparison</w:t>
      </w:r>
    </w:p>
    <w:bookmarkEnd w:id="69"/>
    <w:bookmarkStart w:id="70" w:name="risk"/>
    <w:p>
      <w:pPr>
        <w:pStyle w:val="Heading3"/>
      </w:pPr>
      <w:r>
        <w:t xml:space="preserve">Risk</w:t>
      </w:r>
    </w:p>
    <w:p>
      <w:pPr>
        <w:pStyle w:val="Compact"/>
        <w:numPr>
          <w:ilvl w:val="0"/>
          <w:numId w:val="1025"/>
        </w:numPr>
      </w:pPr>
      <w:r>
        <w:t xml:space="preserve">Portfolio Risk</w:t>
      </w:r>
    </w:p>
    <w:p>
      <w:pPr>
        <w:pStyle w:val="Compact"/>
        <w:numPr>
          <w:ilvl w:val="0"/>
          <w:numId w:val="1025"/>
        </w:numPr>
      </w:pPr>
      <w:r>
        <w:t xml:space="preserve">Correlation</w:t>
      </w:r>
    </w:p>
    <w:p>
      <w:pPr>
        <w:pStyle w:val="Compact"/>
        <w:numPr>
          <w:ilvl w:val="0"/>
          <w:numId w:val="1025"/>
        </w:numPr>
      </w:pPr>
      <w:r>
        <w:t xml:space="preserve">Dynamic Stops</w:t>
      </w:r>
    </w:p>
    <w:bookmarkEnd w:id="70"/>
    <w:bookmarkStart w:id="71" w:name="opportunity"/>
    <w:p>
      <w:pPr>
        <w:pStyle w:val="Heading3"/>
      </w:pPr>
      <w:r>
        <w:t xml:space="preserve">Opportunity</w:t>
      </w:r>
    </w:p>
    <w:p>
      <w:pPr>
        <w:pStyle w:val="Compact"/>
        <w:numPr>
          <w:ilvl w:val="0"/>
          <w:numId w:val="1026"/>
        </w:numPr>
      </w:pPr>
      <w:r>
        <w:t xml:space="preserve">Adaptive Weight Optimization</w:t>
      </w:r>
    </w:p>
    <w:p>
      <w:pPr>
        <w:pStyle w:val="Compact"/>
        <w:numPr>
          <w:ilvl w:val="0"/>
          <w:numId w:val="1026"/>
        </w:numPr>
      </w:pPr>
      <w:r>
        <w:t xml:space="preserve">AI Ranking</w:t>
      </w:r>
    </w:p>
    <w:p>
      <w:pPr>
        <w:pStyle w:val="Compact"/>
        <w:numPr>
          <w:ilvl w:val="0"/>
          <w:numId w:val="1026"/>
        </w:numPr>
      </w:pPr>
      <w:r>
        <w:t xml:space="preserve">Reinforcement Learning</w:t>
      </w:r>
    </w:p>
    <w:p>
      <w:pPr>
        <w:pStyle w:val="Compact"/>
        <w:numPr>
          <w:ilvl w:val="0"/>
          <w:numId w:val="1026"/>
        </w:numPr>
      </w:pPr>
      <w:r>
        <w:t xml:space="preserve">Position Sizing</w:t>
      </w:r>
    </w:p>
    <w:p>
      <w:pPr>
        <w:pStyle w:val="FirstParagraph"/>
      </w:pPr>
      <w:r>
        <w:t xml:space="preserve">None of these extensions require architectural changes.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3" w:name="guiding-principle"/>
    <w:p>
      <w:pPr>
        <w:pStyle w:val="Heading1"/>
      </w:pPr>
      <w:r>
        <w:t xml:space="preserve">13. Guiding Principle</w:t>
      </w:r>
    </w:p>
    <w:p>
      <w:pPr>
        <w:pStyle w:val="FirstParagraph"/>
      </w:pPr>
      <w:r>
        <w:t xml:space="preserve">DORE is an evidence synthesis engine.</w:t>
      </w:r>
    </w:p>
    <w:p>
      <w:pPr>
        <w:pStyle w:val="BodyText"/>
      </w:pPr>
      <w:r>
        <w:t xml:space="preserve">Each stage contributes one independent piece of evidence.</w:t>
      </w:r>
    </w:p>
    <w:p>
      <w:pPr>
        <w:pStyle w:val="BodyText"/>
      </w:pPr>
      <w:r>
        <w:t xml:space="preserve">No stage overrides another.</w:t>
      </w:r>
    </w:p>
    <w:p>
      <w:pPr>
        <w:pStyle w:val="BodyText"/>
      </w:pPr>
      <w:r>
        <w:t xml:space="preserve">Only the Opportunity Engine combines evidence into a recommendation.</w:t>
      </w:r>
    </w:p>
    <w:p>
      <w:pPr>
        <w:pStyle w:val="BodyText"/>
      </w:pPr>
      <w:r>
        <w:t xml:space="preserve">This architecture ensures:</w:t>
      </w:r>
    </w:p>
    <w:p>
      <w:pPr>
        <w:pStyle w:val="Compact"/>
        <w:numPr>
          <w:ilvl w:val="0"/>
          <w:numId w:val="1027"/>
        </w:numPr>
      </w:pPr>
      <w:r>
        <w:t xml:space="preserve">clear ownership,</w:t>
      </w:r>
    </w:p>
    <w:p>
      <w:pPr>
        <w:pStyle w:val="Compact"/>
        <w:numPr>
          <w:ilvl w:val="0"/>
          <w:numId w:val="1027"/>
        </w:numPr>
      </w:pPr>
      <w:r>
        <w:t xml:space="preserve">independent testing,</w:t>
      </w:r>
    </w:p>
    <w:p>
      <w:pPr>
        <w:pStyle w:val="Compact"/>
        <w:numPr>
          <w:ilvl w:val="0"/>
          <w:numId w:val="1027"/>
        </w:numPr>
      </w:pPr>
      <w:r>
        <w:t xml:space="preserve">transparent reasoning,</w:t>
      </w:r>
    </w:p>
    <w:p>
      <w:pPr>
        <w:pStyle w:val="Compact"/>
        <w:numPr>
          <w:ilvl w:val="0"/>
          <w:numId w:val="1027"/>
        </w:numPr>
      </w:pPr>
      <w:r>
        <w:t xml:space="preserve">modular evolution,</w:t>
      </w:r>
    </w:p>
    <w:p>
      <w:pPr>
        <w:pStyle w:val="Compact"/>
        <w:numPr>
          <w:ilvl w:val="0"/>
          <w:numId w:val="1027"/>
        </w:numPr>
      </w:pPr>
      <w:r>
        <w:t xml:space="preserve">institutional-grade explainability.</w:t>
      </w:r>
    </w:p>
    <w:p>
      <w:pPr>
        <w:pStyle w:val="FirstParagraph"/>
      </w:pPr>
      <w:r>
        <w:t xml:space="preserve">The resulting decision flow mirrors how professional options traders evaluate opportunities:</w:t>
      </w:r>
    </w:p>
    <w:p>
      <w:pPr>
        <w:pStyle w:val="Compact"/>
        <w:numPr>
          <w:ilvl w:val="0"/>
          <w:numId w:val="1028"/>
        </w:numPr>
      </w:pPr>
      <w:r>
        <w:t xml:space="preserve">What should I trade?</w:t>
      </w:r>
    </w:p>
    <w:p>
      <w:pPr>
        <w:pStyle w:val="Compact"/>
        <w:numPr>
          <w:ilvl w:val="0"/>
          <w:numId w:val="1028"/>
        </w:numPr>
      </w:pPr>
      <w:r>
        <w:t xml:space="preserve">When should I trade?</w:t>
      </w:r>
    </w:p>
    <w:p>
      <w:pPr>
        <w:pStyle w:val="Compact"/>
        <w:numPr>
          <w:ilvl w:val="0"/>
          <w:numId w:val="1028"/>
        </w:numPr>
      </w:pPr>
      <w:r>
        <w:t xml:space="preserve">Does the derivatives market agree?</w:t>
      </w:r>
    </w:p>
    <w:p>
      <w:pPr>
        <w:pStyle w:val="Compact"/>
        <w:numPr>
          <w:ilvl w:val="0"/>
          <w:numId w:val="1028"/>
        </w:numPr>
      </w:pPr>
      <w:r>
        <w:t xml:space="preserve">Is the option worth buying?</w:t>
      </w:r>
    </w:p>
    <w:p>
      <w:pPr>
        <w:pStyle w:val="Compact"/>
        <w:numPr>
          <w:ilvl w:val="0"/>
          <w:numId w:val="1028"/>
        </w:numPr>
      </w:pPr>
      <w:r>
        <w:t xml:space="preserve">Can the trade survive?</w:t>
      </w:r>
    </w:p>
    <w:p>
      <w:pPr>
        <w:pStyle w:val="Compact"/>
        <w:numPr>
          <w:ilvl w:val="0"/>
          <w:numId w:val="1028"/>
        </w:numPr>
      </w:pPr>
      <w:r>
        <w:t xml:space="preserve">Should I execute?</w:t>
      </w:r>
    </w:p>
    <w:p>
      <w:pPr>
        <w:pStyle w:val="FirstParagraph"/>
      </w:pPr>
      <w:r>
        <w:t xml:space="preserve">This principle shall guide all future enhancements to DORE 3.x unless explicitly superseded by a future RFC.</w:t>
      </w:r>
    </w:p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2026-07-21T10:19:03Z</dcterms:created>
  <dcterms:modified xsi:type="dcterms:W3CDTF">2026-07-21T10:19:03Z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