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3048" w14:textId="77777777" w:rsidR="00A233D0" w:rsidRPr="00AC5DA7" w:rsidRDefault="00000000" w:rsidP="00AC5DA7">
      <w:pPr>
        <w:pStyle w:val="NormalWeb"/>
        <w:shd w:val="clear" w:color="auto" w:fill="FFFFFF"/>
        <w:spacing w:before="120" w:beforeAutospacing="0" w:after="120" w:afterAutospacing="0"/>
        <w:jc w:val="both"/>
        <w:rPr>
          <w:rFonts w:asciiTheme="minorHAnsi" w:hAnsiTheme="minorHAnsi" w:cstheme="minorHAnsi"/>
          <w:color w:val="202124"/>
          <w:shd w:val="clear" w:color="auto" w:fill="FFFFFF"/>
        </w:rPr>
      </w:pPr>
      <w:hyperlink r:id="rId5" w:history="1">
        <w:r w:rsidR="00A233D0" w:rsidRPr="00AC5DA7">
          <w:rPr>
            <w:rStyle w:val="Hyperlink"/>
            <w:rFonts w:asciiTheme="minorHAnsi" w:hAnsiTheme="minorHAnsi" w:cstheme="minorHAnsi"/>
          </w:rPr>
          <w:t>The US wants to fix its broken lithium battery supply chain - The Verge</w:t>
        </w:r>
      </w:hyperlink>
    </w:p>
    <w:p w14:paraId="6FE52CB8" w14:textId="77777777" w:rsidR="00A233D0" w:rsidRPr="00AC5DA7" w:rsidRDefault="00A233D0" w:rsidP="00AC5DA7">
      <w:pPr>
        <w:jc w:val="both"/>
        <w:rPr>
          <w:rFonts w:cstheme="minorHAnsi"/>
          <w:sz w:val="24"/>
          <w:szCs w:val="24"/>
        </w:rPr>
      </w:pPr>
    </w:p>
    <w:p w14:paraId="45F184B5" w14:textId="77777777" w:rsidR="00A233D0" w:rsidRPr="00AC5DA7" w:rsidRDefault="00A233D0" w:rsidP="00AC5DA7">
      <w:pPr>
        <w:jc w:val="both"/>
        <w:rPr>
          <w:rFonts w:cstheme="minorHAnsi"/>
          <w:sz w:val="24"/>
          <w:szCs w:val="24"/>
          <w:u w:val="single"/>
        </w:rPr>
      </w:pPr>
      <w:r w:rsidRPr="00AC5DA7">
        <w:rPr>
          <w:rFonts w:cstheme="minorHAnsi"/>
          <w:sz w:val="24"/>
          <w:szCs w:val="24"/>
          <w:u w:val="single"/>
        </w:rPr>
        <w:t>Plans to improve the EV battery supply chain in North America:</w:t>
      </w:r>
    </w:p>
    <w:p w14:paraId="5D7CE2F4" w14:textId="77777777" w:rsidR="00A233D0" w:rsidRPr="00AC5DA7" w:rsidRDefault="00A233D0" w:rsidP="00AC5DA7">
      <w:pPr>
        <w:jc w:val="both"/>
        <w:rPr>
          <w:rFonts w:cstheme="minorHAnsi"/>
          <w:sz w:val="24"/>
          <w:szCs w:val="24"/>
        </w:rPr>
      </w:pPr>
      <w:r w:rsidRPr="00AC5DA7">
        <w:rPr>
          <w:rFonts w:cstheme="minorHAnsi"/>
          <w:sz w:val="24"/>
          <w:szCs w:val="24"/>
        </w:rPr>
        <w:t xml:space="preserve">The first step would be to build out a domestic supply chain for Lithium-ion EV batteries in North America. The goal would be to do everything, from the mining of raw materials to manufacturing EV batteries (including recycling the batteries). </w:t>
      </w:r>
    </w:p>
    <w:p w14:paraId="410550CA" w14:textId="78AEE60B" w:rsidR="00AC5DA7" w:rsidRPr="00AC5DA7" w:rsidRDefault="00A233D0" w:rsidP="00AC5DA7">
      <w:pPr>
        <w:jc w:val="both"/>
        <w:rPr>
          <w:rFonts w:cstheme="minorHAnsi"/>
          <w:sz w:val="24"/>
          <w:szCs w:val="24"/>
        </w:rPr>
      </w:pPr>
      <w:r w:rsidRPr="00AC5DA7">
        <w:rPr>
          <w:rFonts w:cstheme="minorHAnsi"/>
          <w:sz w:val="24"/>
          <w:szCs w:val="24"/>
        </w:rPr>
        <w:t xml:space="preserve">USA Department of Energy’s blueprint/vision/plan for the future: </w:t>
      </w:r>
      <w:r w:rsidRPr="00AC5DA7">
        <w:rPr>
          <w:rFonts w:cstheme="minorHAnsi"/>
          <w:sz w:val="24"/>
          <w:szCs w:val="24"/>
        </w:rPr>
        <w:fldChar w:fldCharType="begin"/>
      </w:r>
      <w:r w:rsidRPr="00AC5DA7">
        <w:rPr>
          <w:rFonts w:cstheme="minorHAnsi"/>
          <w:sz w:val="24"/>
          <w:szCs w:val="24"/>
        </w:rPr>
        <w:instrText xml:space="preserve"> HYPERLINK "https://www.energy.gov/eere/vehicles/articles/national-blueprint-lithium-batteries" </w:instrText>
      </w:r>
      <w:r w:rsidRPr="00AC5DA7">
        <w:rPr>
          <w:rFonts w:cstheme="minorHAnsi"/>
          <w:sz w:val="24"/>
          <w:szCs w:val="24"/>
        </w:rPr>
      </w:r>
      <w:r w:rsidRPr="00AC5DA7">
        <w:rPr>
          <w:rFonts w:cstheme="minorHAnsi"/>
          <w:sz w:val="24"/>
          <w:szCs w:val="24"/>
        </w:rPr>
        <w:fldChar w:fldCharType="separate"/>
      </w:r>
      <w:r w:rsidRPr="00AC5DA7">
        <w:rPr>
          <w:rStyle w:val="Hyperlink"/>
          <w:rFonts w:cstheme="minorHAnsi"/>
          <w:sz w:val="24"/>
          <w:szCs w:val="24"/>
        </w:rPr>
        <w:t xml:space="preserve">National Blueprint for Lithium Batteries </w:t>
      </w:r>
    </w:p>
    <w:p w14:paraId="1B1B8442" w14:textId="03F93838" w:rsidR="00A233D0" w:rsidRPr="00AC5DA7" w:rsidRDefault="00A233D0" w:rsidP="00AC5DA7">
      <w:pPr>
        <w:jc w:val="both"/>
        <w:rPr>
          <w:rFonts w:cstheme="minorHAnsi"/>
          <w:sz w:val="24"/>
          <w:szCs w:val="24"/>
        </w:rPr>
      </w:pPr>
      <w:r w:rsidRPr="00AC5DA7">
        <w:rPr>
          <w:rStyle w:val="Hyperlink"/>
          <w:rFonts w:cstheme="minorHAnsi"/>
          <w:sz w:val="24"/>
          <w:szCs w:val="24"/>
        </w:rPr>
        <w:t>| Department of Energy</w:t>
      </w:r>
      <w:r w:rsidRPr="00AC5DA7">
        <w:rPr>
          <w:rFonts w:cstheme="minorHAnsi"/>
          <w:sz w:val="24"/>
          <w:szCs w:val="24"/>
        </w:rPr>
        <w:fldChar w:fldCharType="end"/>
      </w:r>
    </w:p>
    <w:p w14:paraId="3B1B9992" w14:textId="0CEF7EB5" w:rsidR="00231176" w:rsidRPr="00AC5DA7" w:rsidRDefault="00231176" w:rsidP="00AC5DA7">
      <w:pPr>
        <w:jc w:val="both"/>
        <w:rPr>
          <w:rFonts w:cstheme="minorHAnsi"/>
          <w:sz w:val="24"/>
          <w:szCs w:val="24"/>
        </w:rPr>
      </w:pPr>
      <w:r w:rsidRPr="00AC5DA7">
        <w:rPr>
          <w:rFonts w:cstheme="minorHAnsi"/>
          <w:sz w:val="24"/>
          <w:szCs w:val="24"/>
        </w:rPr>
        <w:t xml:space="preserve">Cobalt is the most expensive material </w:t>
      </w:r>
      <w:r w:rsidR="001316FC" w:rsidRPr="00AC5DA7">
        <w:rPr>
          <w:rFonts w:cstheme="minorHAnsi"/>
          <w:sz w:val="24"/>
          <w:szCs w:val="24"/>
        </w:rPr>
        <w:t>in an EV battery. Cobalt-free is a promise by Tesla along with CATL.</w:t>
      </w:r>
    </w:p>
    <w:p w14:paraId="5B00A8D7" w14:textId="664F1FAE" w:rsidR="002C04D1" w:rsidRPr="00AC5DA7" w:rsidRDefault="002C04D1" w:rsidP="00AC5DA7">
      <w:pPr>
        <w:jc w:val="both"/>
        <w:rPr>
          <w:rFonts w:cstheme="minorHAnsi"/>
          <w:sz w:val="24"/>
          <w:szCs w:val="24"/>
        </w:rPr>
      </w:pPr>
      <w:r w:rsidRPr="00AC5DA7">
        <w:rPr>
          <w:rFonts w:cstheme="minorHAnsi"/>
          <w:sz w:val="24"/>
          <w:szCs w:val="24"/>
        </w:rPr>
        <w:t>Let us look at the Lithium solution for North America.</w:t>
      </w:r>
      <w:r w:rsidR="00573F8B" w:rsidRPr="00AC5DA7">
        <w:rPr>
          <w:rFonts w:cstheme="minorHAnsi"/>
          <w:sz w:val="24"/>
          <w:szCs w:val="24"/>
        </w:rPr>
        <w:t xml:space="preserve"> The USA holds an estimated 3.6%</w:t>
      </w:r>
      <w:r w:rsidR="00200AF4" w:rsidRPr="00AC5DA7">
        <w:rPr>
          <w:rFonts w:cstheme="minorHAnsi"/>
          <w:sz w:val="24"/>
          <w:szCs w:val="24"/>
        </w:rPr>
        <w:t xml:space="preserve"> (750,000 tonnes)</w:t>
      </w:r>
      <w:r w:rsidR="00573F8B" w:rsidRPr="00AC5DA7">
        <w:rPr>
          <w:rFonts w:cstheme="minorHAnsi"/>
          <w:sz w:val="24"/>
          <w:szCs w:val="24"/>
        </w:rPr>
        <w:t xml:space="preserve"> of </w:t>
      </w:r>
      <w:r w:rsidR="00AA6571" w:rsidRPr="00AC5DA7">
        <w:rPr>
          <w:rFonts w:cstheme="minorHAnsi"/>
          <w:sz w:val="24"/>
          <w:szCs w:val="24"/>
        </w:rPr>
        <w:t xml:space="preserve">the </w:t>
      </w:r>
      <w:r w:rsidR="00573F8B" w:rsidRPr="00AC5DA7">
        <w:rPr>
          <w:rFonts w:cstheme="minorHAnsi"/>
          <w:sz w:val="24"/>
          <w:szCs w:val="24"/>
        </w:rPr>
        <w:t>world’s Lithium deposits</w:t>
      </w:r>
      <w:r w:rsidR="003303C8" w:rsidRPr="00AC5DA7">
        <w:rPr>
          <w:rFonts w:cstheme="minorHAnsi"/>
          <w:sz w:val="24"/>
          <w:szCs w:val="24"/>
        </w:rPr>
        <w:t xml:space="preserve"> and </w:t>
      </w:r>
      <w:r w:rsidR="00AA6571" w:rsidRPr="00AC5DA7">
        <w:rPr>
          <w:rFonts w:cstheme="minorHAnsi"/>
          <w:sz w:val="24"/>
          <w:szCs w:val="24"/>
        </w:rPr>
        <w:t>Canada 2.6%</w:t>
      </w:r>
      <w:r w:rsidR="00200AF4" w:rsidRPr="00AC5DA7">
        <w:rPr>
          <w:rFonts w:cstheme="minorHAnsi"/>
          <w:sz w:val="24"/>
          <w:szCs w:val="24"/>
        </w:rPr>
        <w:t xml:space="preserve"> (</w:t>
      </w:r>
      <w:r w:rsidR="00EF4EAA" w:rsidRPr="00AC5DA7">
        <w:rPr>
          <w:rFonts w:cstheme="minorHAnsi"/>
          <w:sz w:val="24"/>
          <w:szCs w:val="24"/>
        </w:rPr>
        <w:t>530,000 tonnes)</w:t>
      </w:r>
      <w:r w:rsidR="00AA6571" w:rsidRPr="00AC5DA7">
        <w:rPr>
          <w:rFonts w:cstheme="minorHAnsi"/>
          <w:sz w:val="24"/>
          <w:szCs w:val="24"/>
        </w:rPr>
        <w:t xml:space="preserve">. This amounts to a total of </w:t>
      </w:r>
      <w:r w:rsidR="00F369D2" w:rsidRPr="00AC5DA7">
        <w:rPr>
          <w:rFonts w:cstheme="minorHAnsi"/>
          <w:sz w:val="24"/>
          <w:szCs w:val="24"/>
        </w:rPr>
        <w:t>6.2% of t</w:t>
      </w:r>
      <w:r w:rsidR="000F2E96">
        <w:rPr>
          <w:rFonts w:cstheme="minorHAnsi"/>
          <w:sz w:val="24"/>
          <w:szCs w:val="24"/>
        </w:rPr>
        <w:t>he</w:t>
      </w:r>
      <w:r w:rsidR="00F369D2" w:rsidRPr="00AC5DA7">
        <w:rPr>
          <w:rFonts w:cstheme="minorHAnsi"/>
          <w:sz w:val="24"/>
          <w:szCs w:val="24"/>
        </w:rPr>
        <w:t xml:space="preserve"> lithium deposits in North America</w:t>
      </w:r>
      <w:r w:rsidR="0021039E" w:rsidRPr="00AC5DA7">
        <w:rPr>
          <w:rFonts w:cstheme="minorHAnsi"/>
          <w:sz w:val="24"/>
          <w:szCs w:val="24"/>
        </w:rPr>
        <w:t xml:space="preserve"> [1]</w:t>
      </w:r>
      <w:r w:rsidR="003C5A8F" w:rsidRPr="00AC5DA7">
        <w:rPr>
          <w:rFonts w:cstheme="minorHAnsi"/>
          <w:sz w:val="24"/>
          <w:szCs w:val="24"/>
        </w:rPr>
        <w:t>[2]</w:t>
      </w:r>
      <w:r w:rsidR="00F369D2" w:rsidRPr="00AC5DA7">
        <w:rPr>
          <w:rFonts w:cstheme="minorHAnsi"/>
          <w:sz w:val="24"/>
          <w:szCs w:val="24"/>
        </w:rPr>
        <w:t xml:space="preserve">. </w:t>
      </w:r>
    </w:p>
    <w:p w14:paraId="3B42B6C0" w14:textId="210995E0" w:rsidR="00D61641" w:rsidRDefault="00D61641" w:rsidP="00AC5DA7">
      <w:pPr>
        <w:jc w:val="both"/>
        <w:rPr>
          <w:rFonts w:cstheme="minorHAnsi"/>
          <w:sz w:val="24"/>
          <w:szCs w:val="24"/>
        </w:rPr>
      </w:pPr>
      <w:r w:rsidRPr="00AC5DA7">
        <w:rPr>
          <w:rFonts w:cstheme="minorHAnsi"/>
          <w:sz w:val="24"/>
          <w:szCs w:val="24"/>
        </w:rPr>
        <w:t xml:space="preserve">There are two possible locations for large-scale mining operations to take place in </w:t>
      </w:r>
      <w:r w:rsidR="009E49E7" w:rsidRPr="00AC5DA7">
        <w:rPr>
          <w:rFonts w:cstheme="minorHAnsi"/>
          <w:sz w:val="24"/>
          <w:szCs w:val="24"/>
        </w:rPr>
        <w:t xml:space="preserve">the </w:t>
      </w:r>
      <w:r w:rsidRPr="00AC5DA7">
        <w:rPr>
          <w:rFonts w:cstheme="minorHAnsi"/>
          <w:sz w:val="24"/>
          <w:szCs w:val="24"/>
        </w:rPr>
        <w:t>USA, they are the Silver Peak Lithium Mine</w:t>
      </w:r>
      <w:r w:rsidR="008243D8" w:rsidRPr="00AC5DA7">
        <w:rPr>
          <w:rFonts w:cstheme="minorHAnsi"/>
          <w:sz w:val="24"/>
          <w:szCs w:val="24"/>
        </w:rPr>
        <w:t xml:space="preserve"> which is located in Clayton </w:t>
      </w:r>
      <w:r w:rsidR="000F2E96">
        <w:rPr>
          <w:rFonts w:cstheme="minorHAnsi"/>
          <w:sz w:val="24"/>
          <w:szCs w:val="24"/>
        </w:rPr>
        <w:t>V</w:t>
      </w:r>
      <w:r w:rsidR="008243D8" w:rsidRPr="00AC5DA7">
        <w:rPr>
          <w:rFonts w:cstheme="minorHAnsi"/>
          <w:sz w:val="24"/>
          <w:szCs w:val="24"/>
        </w:rPr>
        <w:t>alley, Nevada</w:t>
      </w:r>
      <w:r w:rsidRPr="00AC5DA7">
        <w:rPr>
          <w:rFonts w:cstheme="minorHAnsi"/>
          <w:sz w:val="24"/>
          <w:szCs w:val="24"/>
        </w:rPr>
        <w:t xml:space="preserve">, is currently operational </w:t>
      </w:r>
      <w:r w:rsidR="00666DAC" w:rsidRPr="00AC5DA7">
        <w:rPr>
          <w:rFonts w:cstheme="minorHAnsi"/>
          <w:sz w:val="24"/>
          <w:szCs w:val="24"/>
        </w:rPr>
        <w:t xml:space="preserve">and </w:t>
      </w:r>
      <w:r w:rsidR="004D74BB" w:rsidRPr="00AC5DA7">
        <w:rPr>
          <w:rFonts w:cstheme="minorHAnsi"/>
          <w:sz w:val="24"/>
          <w:szCs w:val="24"/>
        </w:rPr>
        <w:t>under Albemarle Corporation</w:t>
      </w:r>
      <w:r w:rsidR="00055CDB" w:rsidRPr="00AC5DA7">
        <w:rPr>
          <w:rFonts w:cstheme="minorHAnsi"/>
          <w:sz w:val="24"/>
          <w:szCs w:val="24"/>
        </w:rPr>
        <w:t xml:space="preserve"> </w:t>
      </w:r>
      <w:r w:rsidR="00595E39" w:rsidRPr="00AC5DA7">
        <w:rPr>
          <w:rFonts w:cstheme="minorHAnsi"/>
          <w:sz w:val="24"/>
          <w:szCs w:val="24"/>
        </w:rPr>
        <w:t>producing 5000 Metric tonnes of Lithium Carbonate Equiva</w:t>
      </w:r>
      <w:r w:rsidR="00AC5DA7" w:rsidRPr="00AC5DA7">
        <w:rPr>
          <w:rFonts w:cstheme="minorHAnsi"/>
          <w:sz w:val="24"/>
          <w:szCs w:val="24"/>
        </w:rPr>
        <w:t xml:space="preserve">lent (LCE). </w:t>
      </w:r>
      <w:r w:rsidR="000F2E96" w:rsidRPr="000F2E96">
        <w:rPr>
          <w:rFonts w:cstheme="minorHAnsi"/>
          <w:sz w:val="24"/>
          <w:szCs w:val="24"/>
        </w:rPr>
        <w:t>Albemarle’s Chile operation — in the Salar de Atacama region — has the capacity to produce 85,000 metric tons per year. The operation there uses the same brine production process that was first developed in Nevada</w:t>
      </w:r>
      <w:r w:rsidR="000F2E96">
        <w:rPr>
          <w:rFonts w:cstheme="minorHAnsi"/>
          <w:sz w:val="24"/>
          <w:szCs w:val="24"/>
        </w:rPr>
        <w:t xml:space="preserve">. </w:t>
      </w:r>
    </w:p>
    <w:p w14:paraId="4FBBCCE3" w14:textId="624D6C8F" w:rsidR="00E52280" w:rsidRDefault="00E52280" w:rsidP="00AC5DA7">
      <w:pPr>
        <w:jc w:val="both"/>
        <w:rPr>
          <w:rFonts w:cstheme="minorHAnsi"/>
          <w:color w:val="000000"/>
          <w:sz w:val="24"/>
          <w:szCs w:val="24"/>
        </w:rPr>
      </w:pPr>
      <w:r w:rsidRPr="00E52280">
        <w:rPr>
          <w:rFonts w:cstheme="minorHAnsi"/>
          <w:color w:val="000000"/>
          <w:sz w:val="24"/>
          <w:szCs w:val="24"/>
        </w:rPr>
        <w:t>Albemarle is also increasing its footprint at Silver Peak. In January 2021 the company announced plans to double capacity to 10,000 metric tons a year, which the company said is enough to power around 160,000 electric vehicles.</w:t>
      </w:r>
    </w:p>
    <w:p w14:paraId="6AF3BF19" w14:textId="555AA382" w:rsidR="00163A7D" w:rsidRPr="003F78AF" w:rsidRDefault="003F78AF" w:rsidP="00AC5DA7">
      <w:pPr>
        <w:jc w:val="both"/>
        <w:rPr>
          <w:rFonts w:cstheme="minorHAnsi"/>
          <w:b/>
          <w:bCs/>
          <w:color w:val="000000"/>
          <w:sz w:val="24"/>
          <w:szCs w:val="24"/>
          <w:u w:val="single"/>
        </w:rPr>
      </w:pPr>
      <w:r w:rsidRPr="003F78AF">
        <w:rPr>
          <w:rFonts w:cstheme="minorHAnsi"/>
          <w:b/>
          <w:bCs/>
          <w:color w:val="000000"/>
          <w:sz w:val="24"/>
          <w:szCs w:val="24"/>
          <w:u w:val="single"/>
        </w:rPr>
        <w:t>Support from the Government</w:t>
      </w:r>
    </w:p>
    <w:p w14:paraId="3AC4EB9F" w14:textId="77777777" w:rsidR="003F78AF" w:rsidRPr="003F78AF" w:rsidRDefault="003F78AF" w:rsidP="003F78AF">
      <w:pPr>
        <w:spacing w:before="100" w:beforeAutospacing="1" w:after="100" w:afterAutospacing="1" w:line="240" w:lineRule="auto"/>
        <w:rPr>
          <w:rFonts w:eastAsia="Times New Roman" w:cstheme="minorHAnsi"/>
          <w:color w:val="000000"/>
          <w:sz w:val="24"/>
          <w:szCs w:val="24"/>
          <w:lang w:eastAsia="en-CA"/>
        </w:rPr>
      </w:pPr>
      <w:r w:rsidRPr="003F78AF">
        <w:rPr>
          <w:rFonts w:eastAsia="Times New Roman" w:cstheme="minorHAnsi"/>
          <w:color w:val="000000"/>
          <w:sz w:val="24"/>
          <w:szCs w:val="24"/>
          <w:lang w:eastAsia="en-CA"/>
        </w:rPr>
        <w:t>While the vast majority of battery production takes place outside the U.S. — China is a key player, currently refining 56.5% of global lithium, according to Benchmark — the Biden administration is trying to change that.</w:t>
      </w:r>
    </w:p>
    <w:p w14:paraId="2F900B8E" w14:textId="2704883A" w:rsidR="003F78AF" w:rsidRDefault="003F78AF" w:rsidP="003F78AF">
      <w:pPr>
        <w:spacing w:before="100" w:beforeAutospacing="1" w:after="100" w:afterAutospacing="1" w:line="240" w:lineRule="auto"/>
        <w:rPr>
          <w:rFonts w:eastAsia="Times New Roman" w:cstheme="minorHAnsi"/>
          <w:color w:val="000000"/>
          <w:sz w:val="24"/>
          <w:szCs w:val="24"/>
          <w:lang w:eastAsia="en-CA"/>
        </w:rPr>
      </w:pPr>
      <w:r w:rsidRPr="003F78AF">
        <w:rPr>
          <w:rFonts w:eastAsia="Times New Roman" w:cstheme="minorHAnsi"/>
          <w:color w:val="000000"/>
          <w:sz w:val="24"/>
          <w:szCs w:val="24"/>
          <w:lang w:eastAsia="en-CA"/>
        </w:rPr>
        <w:t xml:space="preserve">In February, the White House announced funding for </w:t>
      </w:r>
      <w:r>
        <w:rPr>
          <w:rFonts w:eastAsia="Times New Roman" w:cstheme="minorHAnsi"/>
          <w:color w:val="000000"/>
          <w:sz w:val="24"/>
          <w:szCs w:val="24"/>
          <w:lang w:eastAsia="en-CA"/>
        </w:rPr>
        <w:t xml:space="preserve">the </w:t>
      </w:r>
      <w:r w:rsidRPr="003F78AF">
        <w:rPr>
          <w:rFonts w:eastAsia="Times New Roman" w:cstheme="minorHAnsi"/>
          <w:color w:val="000000"/>
          <w:sz w:val="24"/>
          <w:szCs w:val="24"/>
          <w:lang w:eastAsia="en-CA"/>
        </w:rPr>
        <w:t>domestic production of materials and minerals critical to the energy transition. Then, in March, Biden invoked the Defense Production Act for these materials.</w:t>
      </w:r>
    </w:p>
    <w:p w14:paraId="49C35324" w14:textId="77777777" w:rsidR="00DB5772" w:rsidRPr="00DB5772" w:rsidRDefault="00DB5772" w:rsidP="00DB5772">
      <w:pPr>
        <w:pStyle w:val="NormalWeb"/>
        <w:rPr>
          <w:rFonts w:asciiTheme="minorHAnsi" w:hAnsiTheme="minorHAnsi" w:cstheme="minorHAnsi"/>
          <w:color w:val="000000"/>
        </w:rPr>
      </w:pPr>
      <w:r w:rsidRPr="00DB5772">
        <w:rPr>
          <w:rFonts w:asciiTheme="minorHAnsi" w:hAnsiTheme="minorHAnsi" w:cstheme="minorHAnsi"/>
          <w:color w:val="000000"/>
        </w:rPr>
        <w:t>“To promote the national defense, the United States must secure a reliable and sustainable supply of such strategic and critical materials,” a March statement from the White House read, citing lithium as among the “critical materials.”</w:t>
      </w:r>
    </w:p>
    <w:p w14:paraId="65596BE9" w14:textId="77777777" w:rsidR="00DB5772" w:rsidRPr="00DB5772" w:rsidRDefault="00DB5772" w:rsidP="00DB5772">
      <w:pPr>
        <w:pStyle w:val="NormalWeb"/>
        <w:rPr>
          <w:rFonts w:asciiTheme="minorHAnsi" w:hAnsiTheme="minorHAnsi" w:cstheme="minorHAnsi"/>
          <w:color w:val="000000"/>
        </w:rPr>
      </w:pPr>
      <w:r w:rsidRPr="00DB5772">
        <w:rPr>
          <w:rFonts w:asciiTheme="minorHAnsi" w:hAnsiTheme="minorHAnsi" w:cstheme="minorHAnsi"/>
          <w:color w:val="000000"/>
        </w:rPr>
        <w:lastRenderedPageBreak/>
        <w:t>But the most meaningful initiative, by far, is the recently passed Inflation Reduction Act. The bill, which is the largest climate funding package in U.S. history, focuses on incentives and credits aimed at accelerating the U.S.′ shift towards renewable energy while also jump-starting domestic manufacturing.</w:t>
      </w:r>
    </w:p>
    <w:p w14:paraId="70D0F2E7" w14:textId="3F79465E" w:rsidR="00DB5772" w:rsidRPr="003F78AF" w:rsidRDefault="00DB5772" w:rsidP="00DB5772">
      <w:pPr>
        <w:pStyle w:val="NormalWeb"/>
        <w:rPr>
          <w:rFonts w:asciiTheme="minorHAnsi" w:hAnsiTheme="minorHAnsi" w:cstheme="minorHAnsi"/>
          <w:color w:val="000000"/>
        </w:rPr>
      </w:pPr>
      <w:r w:rsidRPr="00DB5772">
        <w:rPr>
          <w:rFonts w:asciiTheme="minorHAnsi" w:hAnsiTheme="minorHAnsi" w:cstheme="minorHAnsi"/>
          <w:color w:val="000000"/>
        </w:rPr>
        <w:t xml:space="preserve">The bill includes measures that will help battery companies on both the supply and demand </w:t>
      </w:r>
      <w:r w:rsidR="00E028EE">
        <w:rPr>
          <w:rFonts w:asciiTheme="minorHAnsi" w:hAnsiTheme="minorHAnsi" w:cstheme="minorHAnsi"/>
          <w:color w:val="000000"/>
        </w:rPr>
        <w:t>sides</w:t>
      </w:r>
      <w:r w:rsidRPr="00DB5772">
        <w:rPr>
          <w:rFonts w:asciiTheme="minorHAnsi" w:hAnsiTheme="minorHAnsi" w:cstheme="minorHAnsi"/>
          <w:color w:val="000000"/>
        </w:rPr>
        <w:t xml:space="preserve">. Over time, a greater portion of an electric vehicle’s battery materials must be sourced from the U.S. or one of its free-trade allies </w:t>
      </w:r>
      <w:r w:rsidR="00E028EE">
        <w:rPr>
          <w:rFonts w:asciiTheme="minorHAnsi" w:hAnsiTheme="minorHAnsi" w:cstheme="minorHAnsi"/>
          <w:color w:val="000000"/>
        </w:rPr>
        <w:t>for</w:t>
      </w:r>
      <w:r w:rsidRPr="00DB5772">
        <w:rPr>
          <w:rFonts w:asciiTheme="minorHAnsi" w:hAnsiTheme="minorHAnsi" w:cstheme="minorHAnsi"/>
          <w:color w:val="000000"/>
        </w:rPr>
        <w:t xml:space="preserve"> consumers to qualify for the tax rebates. Producers can also take advantage of the manufacturing tax credits.</w:t>
      </w:r>
    </w:p>
    <w:p w14:paraId="396C0251" w14:textId="77777777" w:rsidR="003F78AF" w:rsidRDefault="003F78AF" w:rsidP="00AC5DA7">
      <w:pPr>
        <w:jc w:val="both"/>
        <w:rPr>
          <w:rFonts w:cstheme="minorHAnsi"/>
          <w:color w:val="000000"/>
          <w:sz w:val="24"/>
          <w:szCs w:val="24"/>
        </w:rPr>
      </w:pPr>
    </w:p>
    <w:p w14:paraId="7C556D96" w14:textId="77777777" w:rsidR="00163A7D" w:rsidRDefault="006848AA" w:rsidP="00AC5DA7">
      <w:pPr>
        <w:jc w:val="both"/>
        <w:rPr>
          <w:rFonts w:ascii="Helvetica" w:hAnsi="Helvetica" w:cs="Helvetica"/>
          <w:b/>
          <w:bCs/>
          <w:color w:val="171717"/>
          <w:sz w:val="18"/>
          <w:szCs w:val="18"/>
        </w:rPr>
      </w:pPr>
      <w:r>
        <w:rPr>
          <w:noProof/>
        </w:rPr>
        <w:drawing>
          <wp:inline distT="0" distB="0" distL="0" distR="0" wp14:anchorId="0EC1917D" wp14:editId="55E9FF52">
            <wp:extent cx="4490766" cy="2528455"/>
            <wp:effectExtent l="0" t="0" r="5080" b="5715"/>
            <wp:docPr id="1" name="Picture 1" descr="One of the bright blue ponds at Albemarle's lithium plant in Silver Peak, Ne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of the bright blue ponds at Albemarle's lithium plant in Silver Peak, Nev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348" cy="2534413"/>
                    </a:xfrm>
                    <a:prstGeom prst="rect">
                      <a:avLst/>
                    </a:prstGeom>
                    <a:noFill/>
                    <a:ln>
                      <a:noFill/>
                    </a:ln>
                  </pic:spPr>
                </pic:pic>
              </a:graphicData>
            </a:graphic>
          </wp:inline>
        </w:drawing>
      </w:r>
      <w:r w:rsidR="00DB60EB" w:rsidRPr="00DB60EB">
        <w:rPr>
          <w:rFonts w:ascii="Helvetica" w:hAnsi="Helvetica" w:cs="Helvetica"/>
          <w:b/>
          <w:bCs/>
          <w:color w:val="171717"/>
          <w:sz w:val="18"/>
          <w:szCs w:val="18"/>
        </w:rPr>
        <w:t xml:space="preserve"> </w:t>
      </w:r>
    </w:p>
    <w:p w14:paraId="5BD6491B" w14:textId="14A0EA9E" w:rsidR="006848AA" w:rsidRDefault="00DB60EB" w:rsidP="00AC5DA7">
      <w:pPr>
        <w:jc w:val="both"/>
        <w:rPr>
          <w:rFonts w:cstheme="minorHAnsi"/>
          <w:b/>
          <w:bCs/>
          <w:color w:val="171717"/>
          <w:sz w:val="12"/>
          <w:szCs w:val="12"/>
        </w:rPr>
      </w:pPr>
      <w:r w:rsidRPr="00163A7D">
        <w:rPr>
          <w:rFonts w:cstheme="minorHAnsi"/>
          <w:b/>
          <w:bCs/>
          <w:color w:val="171717"/>
          <w:sz w:val="18"/>
          <w:szCs w:val="18"/>
        </w:rPr>
        <w:t>One of the bright blue ponds at Albemarle’s lithium plant in Silver Peak, Nevada</w:t>
      </w:r>
      <w:r w:rsidRPr="00DB60EB">
        <w:rPr>
          <w:rFonts w:cstheme="minorHAnsi"/>
          <w:b/>
          <w:bCs/>
          <w:color w:val="171717"/>
          <w:sz w:val="12"/>
          <w:szCs w:val="12"/>
        </w:rPr>
        <w:t>.</w:t>
      </w:r>
    </w:p>
    <w:p w14:paraId="3D53B530" w14:textId="77777777" w:rsidR="00163A7D" w:rsidRDefault="00163A7D" w:rsidP="00AC5DA7">
      <w:pPr>
        <w:jc w:val="both"/>
        <w:rPr>
          <w:rFonts w:cstheme="minorHAnsi"/>
          <w:b/>
          <w:bCs/>
          <w:color w:val="171717"/>
          <w:sz w:val="12"/>
          <w:szCs w:val="12"/>
        </w:rPr>
      </w:pPr>
    </w:p>
    <w:p w14:paraId="3DBB9A38" w14:textId="5EAAF421" w:rsidR="00186DCC" w:rsidRDefault="00186DCC" w:rsidP="00AC5DA7">
      <w:pPr>
        <w:jc w:val="both"/>
        <w:rPr>
          <w:rFonts w:cstheme="minorHAnsi"/>
          <w:color w:val="171717"/>
          <w:sz w:val="24"/>
          <w:szCs w:val="24"/>
        </w:rPr>
      </w:pPr>
      <w:r>
        <w:rPr>
          <w:rFonts w:cstheme="minorHAnsi"/>
          <w:color w:val="171717"/>
          <w:sz w:val="24"/>
          <w:szCs w:val="24"/>
        </w:rPr>
        <w:t xml:space="preserve">Developing a domestic supply chain includes these </w:t>
      </w:r>
      <w:r w:rsidR="001478FB">
        <w:rPr>
          <w:rFonts w:cstheme="minorHAnsi"/>
          <w:color w:val="171717"/>
          <w:sz w:val="24"/>
          <w:szCs w:val="24"/>
        </w:rPr>
        <w:t>2</w:t>
      </w:r>
      <w:r>
        <w:rPr>
          <w:rFonts w:cstheme="minorHAnsi"/>
          <w:color w:val="171717"/>
          <w:sz w:val="24"/>
          <w:szCs w:val="24"/>
        </w:rPr>
        <w:t xml:space="preserve"> important stages in </w:t>
      </w:r>
      <w:r w:rsidR="001478FB">
        <w:rPr>
          <w:rFonts w:cstheme="minorHAnsi"/>
          <w:color w:val="171717"/>
          <w:sz w:val="24"/>
          <w:szCs w:val="24"/>
        </w:rPr>
        <w:t>EV battery raw materials</w:t>
      </w:r>
      <w:r w:rsidR="002A0483">
        <w:rPr>
          <w:rFonts w:cstheme="minorHAnsi"/>
          <w:color w:val="171717"/>
          <w:sz w:val="24"/>
          <w:szCs w:val="24"/>
        </w:rPr>
        <w:t>:</w:t>
      </w:r>
    </w:p>
    <w:p w14:paraId="54005D0C" w14:textId="1179C2D5" w:rsidR="00644B36" w:rsidRDefault="00644B36" w:rsidP="00644B36">
      <w:pPr>
        <w:pStyle w:val="ListParagraph"/>
        <w:numPr>
          <w:ilvl w:val="0"/>
          <w:numId w:val="1"/>
        </w:numPr>
        <w:jc w:val="both"/>
        <w:rPr>
          <w:rFonts w:cstheme="minorHAnsi"/>
          <w:sz w:val="24"/>
          <w:szCs w:val="24"/>
        </w:rPr>
      </w:pPr>
      <w:r>
        <w:rPr>
          <w:rFonts w:cstheme="minorHAnsi"/>
          <w:sz w:val="24"/>
          <w:szCs w:val="24"/>
        </w:rPr>
        <w:t>Mining and Extraction</w:t>
      </w:r>
    </w:p>
    <w:p w14:paraId="75DF764D" w14:textId="59CF364A" w:rsidR="00000B00" w:rsidRDefault="00644B36" w:rsidP="001478FB">
      <w:pPr>
        <w:pStyle w:val="ListParagraph"/>
        <w:numPr>
          <w:ilvl w:val="0"/>
          <w:numId w:val="1"/>
        </w:numPr>
        <w:jc w:val="both"/>
        <w:rPr>
          <w:rFonts w:cstheme="minorHAnsi"/>
          <w:sz w:val="24"/>
          <w:szCs w:val="24"/>
        </w:rPr>
      </w:pPr>
      <w:r>
        <w:rPr>
          <w:rFonts w:cstheme="minorHAnsi"/>
          <w:sz w:val="24"/>
          <w:szCs w:val="24"/>
        </w:rPr>
        <w:t xml:space="preserve">Ore Processing and </w:t>
      </w:r>
      <w:r w:rsidR="00000B00">
        <w:rPr>
          <w:rFonts w:cstheme="minorHAnsi"/>
          <w:sz w:val="24"/>
          <w:szCs w:val="24"/>
        </w:rPr>
        <w:t>lithium oxide production</w:t>
      </w:r>
    </w:p>
    <w:p w14:paraId="2E72E38A" w14:textId="46F60C3F" w:rsidR="002A0483" w:rsidRDefault="00547F2F" w:rsidP="002A0483">
      <w:pPr>
        <w:jc w:val="both"/>
        <w:rPr>
          <w:rFonts w:cstheme="minorHAnsi"/>
          <w:sz w:val="24"/>
          <w:szCs w:val="24"/>
        </w:rPr>
      </w:pPr>
      <w:r>
        <w:rPr>
          <w:rFonts w:cstheme="minorHAnsi"/>
          <w:sz w:val="24"/>
          <w:szCs w:val="24"/>
        </w:rPr>
        <w:t>According to Scientific American, the USA alone would require around 360,000 tonnes of lithium by 2050</w:t>
      </w:r>
      <w:r w:rsidR="005E1017">
        <w:rPr>
          <w:rFonts w:cstheme="minorHAnsi"/>
          <w:sz w:val="24"/>
          <w:szCs w:val="24"/>
        </w:rPr>
        <w:t xml:space="preserve"> to meet its EV demands. </w:t>
      </w:r>
      <w:r w:rsidR="0018504F">
        <w:rPr>
          <w:rFonts w:cstheme="minorHAnsi"/>
          <w:sz w:val="24"/>
          <w:szCs w:val="24"/>
        </w:rPr>
        <w:t>This number although substantially high can be met through a planned domestic supply chain for raw materials such as lithium</w:t>
      </w:r>
      <w:r w:rsidR="00C011D0">
        <w:rPr>
          <w:rFonts w:cstheme="minorHAnsi"/>
          <w:sz w:val="24"/>
          <w:szCs w:val="24"/>
        </w:rPr>
        <w:t xml:space="preserve">. </w:t>
      </w:r>
    </w:p>
    <w:p w14:paraId="1AEC98E7" w14:textId="3C3950F6" w:rsidR="00DF5246" w:rsidRDefault="00DF5246" w:rsidP="002A0483">
      <w:pPr>
        <w:jc w:val="both"/>
        <w:rPr>
          <w:rFonts w:cstheme="minorHAnsi"/>
          <w:b/>
          <w:bCs/>
          <w:sz w:val="24"/>
          <w:szCs w:val="24"/>
        </w:rPr>
      </w:pPr>
      <w:r w:rsidRPr="00DF5246">
        <w:rPr>
          <w:rFonts w:cstheme="minorHAnsi"/>
          <w:b/>
          <w:bCs/>
          <w:sz w:val="24"/>
          <w:szCs w:val="24"/>
        </w:rPr>
        <w:t>The Solution:</w:t>
      </w:r>
    </w:p>
    <w:p w14:paraId="23CEAB6A" w14:textId="7CE622CA" w:rsidR="00DF5246" w:rsidRDefault="00DF5246" w:rsidP="00DF5246">
      <w:pPr>
        <w:pStyle w:val="ListParagraph"/>
        <w:numPr>
          <w:ilvl w:val="0"/>
          <w:numId w:val="2"/>
        </w:numPr>
        <w:jc w:val="both"/>
        <w:rPr>
          <w:rFonts w:cstheme="minorHAnsi"/>
          <w:b/>
          <w:bCs/>
          <w:sz w:val="24"/>
          <w:szCs w:val="24"/>
        </w:rPr>
      </w:pPr>
      <w:r>
        <w:rPr>
          <w:rFonts w:cstheme="minorHAnsi"/>
          <w:b/>
          <w:bCs/>
          <w:sz w:val="24"/>
          <w:szCs w:val="24"/>
        </w:rPr>
        <w:t>Mining and Extraction of Lithium ore:</w:t>
      </w:r>
    </w:p>
    <w:p w14:paraId="3AA7DD77" w14:textId="3E04A2D7" w:rsidR="00DF5246" w:rsidRDefault="00D14416" w:rsidP="00DF5246">
      <w:pPr>
        <w:pStyle w:val="ListParagraph"/>
        <w:jc w:val="both"/>
        <w:rPr>
          <w:rFonts w:cstheme="minorHAnsi"/>
          <w:sz w:val="24"/>
          <w:szCs w:val="24"/>
        </w:rPr>
      </w:pPr>
      <w:r>
        <w:rPr>
          <w:rFonts w:cstheme="minorHAnsi"/>
          <w:sz w:val="24"/>
          <w:szCs w:val="24"/>
        </w:rPr>
        <w:t xml:space="preserve">The Silver Peak Lithium mine in Clayton Valley, Nevada, USA currently produces 5000 tonnes of </w:t>
      </w:r>
      <w:r w:rsidR="00986176">
        <w:rPr>
          <w:rFonts w:cstheme="minorHAnsi"/>
          <w:sz w:val="24"/>
          <w:szCs w:val="24"/>
        </w:rPr>
        <w:t>LCE</w:t>
      </w:r>
      <w:r w:rsidR="00C83AD5">
        <w:rPr>
          <w:rFonts w:cstheme="minorHAnsi"/>
          <w:sz w:val="24"/>
          <w:szCs w:val="24"/>
        </w:rPr>
        <w:t>,</w:t>
      </w:r>
      <w:r w:rsidR="00986176">
        <w:rPr>
          <w:rFonts w:cstheme="minorHAnsi"/>
          <w:sz w:val="24"/>
          <w:szCs w:val="24"/>
        </w:rPr>
        <w:t xml:space="preserve"> and Albemarle’s plans to </w:t>
      </w:r>
      <w:r w:rsidR="00C83AD5">
        <w:rPr>
          <w:rFonts w:cstheme="minorHAnsi"/>
          <w:sz w:val="24"/>
          <w:szCs w:val="24"/>
        </w:rPr>
        <w:t xml:space="preserve">increase capacity to 10000 metric tonnes certainly have huge significance. </w:t>
      </w:r>
    </w:p>
    <w:p w14:paraId="7AEC2DC2" w14:textId="21C09F57" w:rsidR="00297A09" w:rsidRDefault="00297A09" w:rsidP="00DF5246">
      <w:pPr>
        <w:pStyle w:val="ListParagraph"/>
        <w:jc w:val="both"/>
        <w:rPr>
          <w:rFonts w:cstheme="minorHAnsi"/>
          <w:sz w:val="24"/>
          <w:szCs w:val="24"/>
        </w:rPr>
      </w:pPr>
      <w:r>
        <w:rPr>
          <w:rFonts w:cstheme="minorHAnsi"/>
          <w:sz w:val="24"/>
          <w:szCs w:val="24"/>
        </w:rPr>
        <w:lastRenderedPageBreak/>
        <w:t>The angel in disguise is the Thacker Pass in Nevada, USA</w:t>
      </w:r>
      <w:r w:rsidR="006D5775">
        <w:rPr>
          <w:rFonts w:cstheme="minorHAnsi"/>
          <w:sz w:val="24"/>
          <w:szCs w:val="24"/>
        </w:rPr>
        <w:t xml:space="preserve">, which is estimated to hold </w:t>
      </w:r>
      <w:r w:rsidR="00F8504A">
        <w:rPr>
          <w:rFonts w:cstheme="minorHAnsi"/>
          <w:sz w:val="24"/>
          <w:szCs w:val="24"/>
        </w:rPr>
        <w:t xml:space="preserve">a mineral amount of </w:t>
      </w:r>
      <w:r w:rsidR="00731513">
        <w:rPr>
          <w:rFonts w:cstheme="minorHAnsi"/>
          <w:sz w:val="24"/>
          <w:szCs w:val="24"/>
        </w:rPr>
        <w:t>13.7 million tonnes of LCE</w:t>
      </w:r>
      <w:r w:rsidR="00D97D91">
        <w:rPr>
          <w:rFonts w:cstheme="minorHAnsi"/>
          <w:sz w:val="24"/>
          <w:szCs w:val="24"/>
        </w:rPr>
        <w:t xml:space="preserve">. </w:t>
      </w:r>
    </w:p>
    <w:p w14:paraId="5574316F" w14:textId="71A19128" w:rsidR="00A849FA" w:rsidRDefault="00A849FA" w:rsidP="00DF5246">
      <w:pPr>
        <w:pStyle w:val="ListParagraph"/>
        <w:jc w:val="both"/>
        <w:rPr>
          <w:rFonts w:cstheme="minorHAnsi"/>
          <w:sz w:val="24"/>
          <w:szCs w:val="24"/>
        </w:rPr>
      </w:pPr>
      <w:r>
        <w:rPr>
          <w:noProof/>
        </w:rPr>
        <w:drawing>
          <wp:inline distT="0" distB="0" distL="0" distR="0" wp14:anchorId="5E4AAA02" wp14:editId="7168FFF1">
            <wp:extent cx="3634006" cy="2812472"/>
            <wp:effectExtent l="0" t="0" r="5080" b="6985"/>
            <wp:docPr id="2" name="Picture 2" descr="Figure 1: Thacker Pass Location and Mineral Resource Model Compared to the Boundary of 2018 Resour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acker Pass Location and Mineral Resource Model Compared to the Boundary of 2018 Resource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6868" cy="2822426"/>
                    </a:xfrm>
                    <a:prstGeom prst="rect">
                      <a:avLst/>
                    </a:prstGeom>
                    <a:noFill/>
                    <a:ln>
                      <a:noFill/>
                    </a:ln>
                  </pic:spPr>
                </pic:pic>
              </a:graphicData>
            </a:graphic>
          </wp:inline>
        </w:drawing>
      </w:r>
    </w:p>
    <w:p w14:paraId="5DE2A821" w14:textId="77777777" w:rsidR="00A849FA" w:rsidRDefault="00A849FA" w:rsidP="00DF5246">
      <w:pPr>
        <w:pStyle w:val="ListParagraph"/>
        <w:jc w:val="both"/>
        <w:rPr>
          <w:rFonts w:cstheme="minorHAnsi"/>
          <w:sz w:val="24"/>
          <w:szCs w:val="24"/>
        </w:rPr>
      </w:pPr>
    </w:p>
    <w:p w14:paraId="65C2DC80" w14:textId="77777777" w:rsidR="00A849FA" w:rsidRPr="003F7485" w:rsidRDefault="00A849FA" w:rsidP="00A849FA">
      <w:pPr>
        <w:spacing w:before="100" w:beforeAutospacing="1" w:after="100" w:afterAutospacing="1" w:line="450" w:lineRule="atLeast"/>
        <w:jc w:val="both"/>
        <w:rPr>
          <w:rFonts w:eastAsia="Times New Roman" w:cstheme="minorHAnsi"/>
          <w:b/>
          <w:bCs/>
          <w:sz w:val="24"/>
          <w:szCs w:val="24"/>
          <w:u w:val="single"/>
          <w:lang w:eastAsia="en-CA"/>
        </w:rPr>
      </w:pPr>
      <w:r w:rsidRPr="003F7485">
        <w:rPr>
          <w:rFonts w:eastAsia="Times New Roman" w:cstheme="minorHAnsi"/>
          <w:b/>
          <w:bCs/>
          <w:sz w:val="24"/>
          <w:szCs w:val="24"/>
          <w:u w:val="single"/>
          <w:lang w:eastAsia="en-CA"/>
        </w:rPr>
        <w:t>Table 1: Updated Mineral Resource Estimate</w:t>
      </w:r>
    </w:p>
    <w:tbl>
      <w:tblPr>
        <w:tblW w:w="3603" w:type="pct"/>
        <w:tblBorders>
          <w:top w:val="single" w:sz="6" w:space="0" w:color="EBEBEB"/>
          <w:left w:val="single" w:sz="6" w:space="0" w:color="EBEBEB"/>
          <w:bottom w:val="single" w:sz="6" w:space="0" w:color="EBEBEB"/>
          <w:right w:val="single" w:sz="6" w:space="0" w:color="EBEBEB"/>
        </w:tblBorders>
        <w:tblCellMar>
          <w:top w:w="450" w:type="dxa"/>
          <w:left w:w="825" w:type="dxa"/>
          <w:bottom w:w="450" w:type="dxa"/>
          <w:right w:w="825" w:type="dxa"/>
        </w:tblCellMar>
        <w:tblLook w:val="04A0" w:firstRow="1" w:lastRow="0" w:firstColumn="1" w:lastColumn="0" w:noHBand="0" w:noVBand="1"/>
      </w:tblPr>
      <w:tblGrid>
        <w:gridCol w:w="1899"/>
        <w:gridCol w:w="2463"/>
        <w:gridCol w:w="2371"/>
      </w:tblGrid>
      <w:tr w:rsidR="00A849FA" w:rsidRPr="003F7485" w14:paraId="149BFD19" w14:textId="77777777" w:rsidTr="00C92C69">
        <w:trPr>
          <w:trHeight w:val="729"/>
        </w:trPr>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7F91F5D6"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b/>
                <w:bCs/>
                <w:color w:val="231F20"/>
                <w:sz w:val="24"/>
                <w:szCs w:val="24"/>
                <w:lang w:eastAsia="en-CA"/>
              </w:rPr>
              <w:t>Category</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1D90FCB1" w14:textId="77777777" w:rsidR="00A849FA" w:rsidRPr="003F7485" w:rsidRDefault="00A849FA" w:rsidP="00C92C69">
            <w:pPr>
              <w:spacing w:after="0" w:line="240" w:lineRule="auto"/>
              <w:rPr>
                <w:rFonts w:ascii="Times New Roman" w:eastAsia="Times New Roman" w:hAnsi="Times New Roman" w:cs="Times New Roman"/>
                <w:caps/>
                <w:color w:val="81414D"/>
                <w:sz w:val="24"/>
                <w:szCs w:val="24"/>
                <w:lang w:eastAsia="en-CA"/>
              </w:rPr>
            </w:pPr>
            <w:r w:rsidRPr="003F7485">
              <w:rPr>
                <w:rFonts w:ascii="Times New Roman" w:eastAsia="Times New Roman" w:hAnsi="Times New Roman" w:cs="Times New Roman"/>
                <w:b/>
                <w:bCs/>
                <w:caps/>
                <w:color w:val="81414D"/>
                <w:sz w:val="24"/>
                <w:szCs w:val="24"/>
                <w:lang w:eastAsia="en-CA"/>
              </w:rPr>
              <w:t>EFFECTIVE DATE OF OCTOBER 7, 2021</w:t>
            </w:r>
            <w:r w:rsidRPr="003F7485">
              <w:rPr>
                <w:rFonts w:ascii="Times New Roman" w:eastAsia="Times New Roman" w:hAnsi="Times New Roman" w:cs="Times New Roman"/>
                <w:caps/>
                <w:color w:val="81414D"/>
                <w:sz w:val="24"/>
                <w:szCs w:val="24"/>
                <w:lang w:eastAsia="en-CA"/>
              </w:rPr>
              <w:br/>
              <w:t>1,334 PPM LI CUT-OFF GRADE</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5E3AE625" w14:textId="77777777" w:rsidR="00A849FA" w:rsidRPr="003F7485" w:rsidRDefault="00A849FA" w:rsidP="00C92C69">
            <w:pPr>
              <w:spacing w:after="0" w:line="240" w:lineRule="auto"/>
              <w:rPr>
                <w:rFonts w:ascii="Times New Roman" w:eastAsia="Times New Roman" w:hAnsi="Times New Roman" w:cs="Times New Roman"/>
                <w:caps/>
                <w:color w:val="81414D"/>
                <w:sz w:val="24"/>
                <w:szCs w:val="24"/>
                <w:lang w:eastAsia="en-CA"/>
              </w:rPr>
            </w:pPr>
            <w:r w:rsidRPr="003F7485">
              <w:rPr>
                <w:rFonts w:ascii="Times New Roman" w:eastAsia="Times New Roman" w:hAnsi="Times New Roman" w:cs="Times New Roman"/>
                <w:b/>
                <w:bCs/>
                <w:caps/>
                <w:color w:val="81414D"/>
                <w:sz w:val="24"/>
                <w:szCs w:val="24"/>
                <w:lang w:eastAsia="en-CA"/>
              </w:rPr>
              <w:t>EFFECTIVE DATE OF APRIL 5, 2018</w:t>
            </w:r>
            <w:r w:rsidRPr="003F7485">
              <w:rPr>
                <w:rFonts w:ascii="Times New Roman" w:eastAsia="Times New Roman" w:hAnsi="Times New Roman" w:cs="Times New Roman"/>
                <w:caps/>
                <w:color w:val="81414D"/>
                <w:sz w:val="24"/>
                <w:szCs w:val="24"/>
                <w:lang w:eastAsia="en-CA"/>
              </w:rPr>
              <w:br/>
              <w:t>2,000 PPM LI CUT-OFF GRADE</w:t>
            </w:r>
          </w:p>
        </w:tc>
      </w:tr>
      <w:tr w:rsidR="00A849FA" w:rsidRPr="003F7485" w14:paraId="63D619E4" w14:textId="77777777" w:rsidTr="00C92C69">
        <w:trPr>
          <w:trHeight w:val="541"/>
        </w:trPr>
        <w:tc>
          <w:tcPr>
            <w:tcW w:w="0" w:type="auto"/>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3F4971E3"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Measured</w:t>
            </w:r>
          </w:p>
        </w:tc>
        <w:tc>
          <w:tcPr>
            <w:tcW w:w="0" w:type="auto"/>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7FA2E814"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654.2 Mt</w:t>
            </w:r>
            <w:r w:rsidRPr="003F7485">
              <w:rPr>
                <w:rFonts w:ascii="Times New Roman" w:eastAsia="Times New Roman" w:hAnsi="Times New Roman" w:cs="Times New Roman"/>
                <w:color w:val="231F20"/>
                <w:sz w:val="24"/>
                <w:szCs w:val="24"/>
                <w:lang w:eastAsia="en-CA"/>
              </w:rPr>
              <w:br/>
              <w:t>2,356 Average Li (ppm)</w:t>
            </w:r>
            <w:r w:rsidRPr="003F7485">
              <w:rPr>
                <w:rFonts w:ascii="Times New Roman" w:eastAsia="Times New Roman" w:hAnsi="Times New Roman" w:cs="Times New Roman"/>
                <w:color w:val="231F20"/>
                <w:sz w:val="24"/>
                <w:szCs w:val="24"/>
                <w:lang w:eastAsia="en-CA"/>
              </w:rPr>
              <w:br/>
              <w:t>8.2 Mt LCE</w:t>
            </w:r>
          </w:p>
        </w:tc>
        <w:tc>
          <w:tcPr>
            <w:tcW w:w="0" w:type="auto"/>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27AE4692"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242.2 Mt</w:t>
            </w:r>
            <w:r w:rsidRPr="003F7485">
              <w:rPr>
                <w:rFonts w:ascii="Times New Roman" w:eastAsia="Times New Roman" w:hAnsi="Times New Roman" w:cs="Times New Roman"/>
                <w:color w:val="231F20"/>
                <w:sz w:val="24"/>
                <w:szCs w:val="24"/>
                <w:lang w:eastAsia="en-CA"/>
              </w:rPr>
              <w:br/>
              <w:t>2,948 Average Li (ppm)</w:t>
            </w:r>
            <w:r w:rsidRPr="003F7485">
              <w:rPr>
                <w:rFonts w:ascii="Times New Roman" w:eastAsia="Times New Roman" w:hAnsi="Times New Roman" w:cs="Times New Roman"/>
                <w:color w:val="231F20"/>
                <w:sz w:val="24"/>
                <w:szCs w:val="24"/>
                <w:lang w:eastAsia="en-CA"/>
              </w:rPr>
              <w:br/>
              <w:t>3.8 Mt LCE</w:t>
            </w:r>
          </w:p>
        </w:tc>
      </w:tr>
      <w:tr w:rsidR="00A849FA" w:rsidRPr="003F7485" w14:paraId="4395F397" w14:textId="77777777" w:rsidTr="00C92C69">
        <w:trPr>
          <w:trHeight w:val="548"/>
        </w:trPr>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27AC2B47"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Indicated</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13050868"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499.4 Mt</w:t>
            </w:r>
            <w:r w:rsidRPr="003F7485">
              <w:rPr>
                <w:rFonts w:ascii="Times New Roman" w:eastAsia="Times New Roman" w:hAnsi="Times New Roman" w:cs="Times New Roman"/>
                <w:color w:val="231F20"/>
                <w:sz w:val="24"/>
                <w:szCs w:val="24"/>
                <w:lang w:eastAsia="en-CA"/>
              </w:rPr>
              <w:br/>
              <w:t>2,067 Average Li (ppm)</w:t>
            </w:r>
            <w:r w:rsidRPr="003F7485">
              <w:rPr>
                <w:rFonts w:ascii="Times New Roman" w:eastAsia="Times New Roman" w:hAnsi="Times New Roman" w:cs="Times New Roman"/>
                <w:color w:val="231F20"/>
                <w:sz w:val="24"/>
                <w:szCs w:val="24"/>
                <w:lang w:eastAsia="en-CA"/>
              </w:rPr>
              <w:br/>
              <w:t>5.5 Mt LCE</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43202771"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143.1 Mt</w:t>
            </w:r>
            <w:r w:rsidRPr="003F7485">
              <w:rPr>
                <w:rFonts w:ascii="Times New Roman" w:eastAsia="Times New Roman" w:hAnsi="Times New Roman" w:cs="Times New Roman"/>
                <w:color w:val="231F20"/>
                <w:sz w:val="24"/>
                <w:szCs w:val="24"/>
                <w:lang w:eastAsia="en-CA"/>
              </w:rPr>
              <w:br/>
              <w:t>2,864 Average Li (ppm)</w:t>
            </w:r>
            <w:r w:rsidRPr="003F7485">
              <w:rPr>
                <w:rFonts w:ascii="Times New Roman" w:eastAsia="Times New Roman" w:hAnsi="Times New Roman" w:cs="Times New Roman"/>
                <w:color w:val="231F20"/>
                <w:sz w:val="24"/>
                <w:szCs w:val="24"/>
                <w:lang w:eastAsia="en-CA"/>
              </w:rPr>
              <w:br/>
              <w:t>2.2 Mt LCE</w:t>
            </w:r>
          </w:p>
        </w:tc>
      </w:tr>
      <w:tr w:rsidR="00A849FA" w:rsidRPr="003F7485" w14:paraId="56DDCA5D" w14:textId="77777777" w:rsidTr="00C92C69">
        <w:trPr>
          <w:trHeight w:val="548"/>
        </w:trPr>
        <w:tc>
          <w:tcPr>
            <w:tcW w:w="0" w:type="auto"/>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6AAEC404"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b/>
                <w:bCs/>
                <w:color w:val="231F20"/>
                <w:sz w:val="24"/>
                <w:szCs w:val="24"/>
                <w:lang w:eastAsia="en-CA"/>
              </w:rPr>
              <w:t>Total Measured and Indicated</w:t>
            </w:r>
          </w:p>
        </w:tc>
        <w:tc>
          <w:tcPr>
            <w:tcW w:w="0" w:type="auto"/>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4DA2B754"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b/>
                <w:bCs/>
                <w:color w:val="231F20"/>
                <w:sz w:val="24"/>
                <w:szCs w:val="24"/>
                <w:lang w:eastAsia="en-CA"/>
              </w:rPr>
              <w:t>1,153.6 Mt</w:t>
            </w:r>
            <w:r w:rsidRPr="003F7485">
              <w:rPr>
                <w:rFonts w:ascii="Times New Roman" w:eastAsia="Times New Roman" w:hAnsi="Times New Roman" w:cs="Times New Roman"/>
                <w:b/>
                <w:bCs/>
                <w:color w:val="231F20"/>
                <w:sz w:val="24"/>
                <w:szCs w:val="24"/>
                <w:lang w:eastAsia="en-CA"/>
              </w:rPr>
              <w:br/>
              <w:t xml:space="preserve">2,231 Average Li </w:t>
            </w:r>
            <w:r w:rsidRPr="003F7485">
              <w:rPr>
                <w:rFonts w:ascii="Times New Roman" w:eastAsia="Times New Roman" w:hAnsi="Times New Roman" w:cs="Times New Roman"/>
                <w:b/>
                <w:bCs/>
                <w:color w:val="231F20"/>
                <w:sz w:val="24"/>
                <w:szCs w:val="24"/>
                <w:lang w:eastAsia="en-CA"/>
              </w:rPr>
              <w:lastRenderedPageBreak/>
              <w:t>(ppm)</w:t>
            </w:r>
            <w:r w:rsidRPr="003F7485">
              <w:rPr>
                <w:rFonts w:ascii="Times New Roman" w:eastAsia="Times New Roman" w:hAnsi="Times New Roman" w:cs="Times New Roman"/>
                <w:b/>
                <w:bCs/>
                <w:color w:val="231F20"/>
                <w:sz w:val="24"/>
                <w:szCs w:val="24"/>
                <w:lang w:eastAsia="en-CA"/>
              </w:rPr>
              <w:br/>
              <w:t>13.7 Mt LCE</w:t>
            </w:r>
          </w:p>
        </w:tc>
        <w:tc>
          <w:tcPr>
            <w:tcW w:w="0" w:type="auto"/>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vAlign w:val="center"/>
            <w:hideMark/>
          </w:tcPr>
          <w:p w14:paraId="765FDE3D"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b/>
                <w:bCs/>
                <w:color w:val="231F20"/>
                <w:sz w:val="24"/>
                <w:szCs w:val="24"/>
                <w:lang w:eastAsia="en-CA"/>
              </w:rPr>
              <w:lastRenderedPageBreak/>
              <w:t>385.3 Mt</w:t>
            </w:r>
            <w:r w:rsidRPr="003F7485">
              <w:rPr>
                <w:rFonts w:ascii="Times New Roman" w:eastAsia="Times New Roman" w:hAnsi="Times New Roman" w:cs="Times New Roman"/>
                <w:b/>
                <w:bCs/>
                <w:color w:val="231F20"/>
                <w:sz w:val="24"/>
                <w:szCs w:val="24"/>
                <w:lang w:eastAsia="en-CA"/>
              </w:rPr>
              <w:br/>
              <w:t xml:space="preserve">2,917 Average Li </w:t>
            </w:r>
            <w:r w:rsidRPr="003F7485">
              <w:rPr>
                <w:rFonts w:ascii="Times New Roman" w:eastAsia="Times New Roman" w:hAnsi="Times New Roman" w:cs="Times New Roman"/>
                <w:b/>
                <w:bCs/>
                <w:color w:val="231F20"/>
                <w:sz w:val="24"/>
                <w:szCs w:val="24"/>
                <w:lang w:eastAsia="en-CA"/>
              </w:rPr>
              <w:lastRenderedPageBreak/>
              <w:t>(ppm)</w:t>
            </w:r>
            <w:r w:rsidRPr="003F7485">
              <w:rPr>
                <w:rFonts w:ascii="Times New Roman" w:eastAsia="Times New Roman" w:hAnsi="Times New Roman" w:cs="Times New Roman"/>
                <w:b/>
                <w:bCs/>
                <w:color w:val="231F20"/>
                <w:sz w:val="24"/>
                <w:szCs w:val="24"/>
                <w:lang w:eastAsia="en-CA"/>
              </w:rPr>
              <w:br/>
              <w:t>6.0 Mt LCE</w:t>
            </w:r>
          </w:p>
        </w:tc>
      </w:tr>
      <w:tr w:rsidR="00A849FA" w:rsidRPr="003F7485" w14:paraId="7D3E3FD3" w14:textId="77777777" w:rsidTr="00C92C69">
        <w:trPr>
          <w:trHeight w:val="20"/>
        </w:trPr>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15A92389"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lastRenderedPageBreak/>
              <w:t>Inferred</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14C4F8C4"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391.6 Mt</w:t>
            </w:r>
            <w:r w:rsidRPr="003F7485">
              <w:rPr>
                <w:rFonts w:ascii="Times New Roman" w:eastAsia="Times New Roman" w:hAnsi="Times New Roman" w:cs="Times New Roman"/>
                <w:color w:val="231F20"/>
                <w:sz w:val="24"/>
                <w:szCs w:val="24"/>
                <w:lang w:eastAsia="en-CA"/>
              </w:rPr>
              <w:br/>
              <w:t>2,112 Average Li (ppm)</w:t>
            </w:r>
            <w:r w:rsidRPr="003F7485">
              <w:rPr>
                <w:rFonts w:ascii="Times New Roman" w:eastAsia="Times New Roman" w:hAnsi="Times New Roman" w:cs="Times New Roman"/>
                <w:color w:val="231F20"/>
                <w:sz w:val="24"/>
                <w:szCs w:val="24"/>
                <w:lang w:eastAsia="en-CA"/>
              </w:rPr>
              <w:br/>
              <w:t>4.4 Mt LCE</w:t>
            </w:r>
          </w:p>
        </w:tc>
        <w:tc>
          <w:tcPr>
            <w:tcW w:w="0" w:type="auto"/>
            <w:tcBorders>
              <w:top w:val="outset" w:sz="6" w:space="0" w:color="auto"/>
              <w:left w:val="outset" w:sz="6" w:space="0" w:color="auto"/>
              <w:bottom w:val="outset" w:sz="6" w:space="0" w:color="auto"/>
              <w:right w:val="outset" w:sz="6" w:space="0" w:color="auto"/>
            </w:tcBorders>
            <w:shd w:val="clear" w:color="auto" w:fill="EBEBEB"/>
            <w:tcMar>
              <w:top w:w="225" w:type="dxa"/>
              <w:left w:w="225" w:type="dxa"/>
              <w:bottom w:w="225" w:type="dxa"/>
              <w:right w:w="225" w:type="dxa"/>
            </w:tcMar>
            <w:vAlign w:val="center"/>
            <w:hideMark/>
          </w:tcPr>
          <w:p w14:paraId="6388414E" w14:textId="77777777" w:rsidR="00A849FA" w:rsidRPr="003F7485" w:rsidRDefault="00A849FA" w:rsidP="00C92C69">
            <w:pPr>
              <w:spacing w:after="0" w:line="240" w:lineRule="auto"/>
              <w:rPr>
                <w:rFonts w:ascii="Times New Roman" w:eastAsia="Times New Roman" w:hAnsi="Times New Roman" w:cs="Times New Roman"/>
                <w:color w:val="231F20"/>
                <w:sz w:val="24"/>
                <w:szCs w:val="24"/>
                <w:lang w:eastAsia="en-CA"/>
              </w:rPr>
            </w:pPr>
            <w:r w:rsidRPr="003F7485">
              <w:rPr>
                <w:rFonts w:ascii="Times New Roman" w:eastAsia="Times New Roman" w:hAnsi="Times New Roman" w:cs="Times New Roman"/>
                <w:color w:val="231F20"/>
                <w:sz w:val="24"/>
                <w:szCs w:val="24"/>
                <w:lang w:eastAsia="en-CA"/>
              </w:rPr>
              <w:t>147.4 Mt</w:t>
            </w:r>
            <w:r w:rsidRPr="003F7485">
              <w:rPr>
                <w:rFonts w:ascii="Times New Roman" w:eastAsia="Times New Roman" w:hAnsi="Times New Roman" w:cs="Times New Roman"/>
                <w:color w:val="231F20"/>
                <w:sz w:val="24"/>
                <w:szCs w:val="24"/>
                <w:lang w:eastAsia="en-CA"/>
              </w:rPr>
              <w:br/>
              <w:t>2,932 Average Li (ppm)</w:t>
            </w:r>
            <w:r w:rsidRPr="003F7485">
              <w:rPr>
                <w:rFonts w:ascii="Times New Roman" w:eastAsia="Times New Roman" w:hAnsi="Times New Roman" w:cs="Times New Roman"/>
                <w:color w:val="231F20"/>
                <w:sz w:val="24"/>
                <w:szCs w:val="24"/>
                <w:lang w:eastAsia="en-CA"/>
              </w:rPr>
              <w:br/>
              <w:t>2.3 Mt LCE</w:t>
            </w:r>
          </w:p>
        </w:tc>
      </w:tr>
    </w:tbl>
    <w:p w14:paraId="58237078" w14:textId="77777777" w:rsidR="00A849FA" w:rsidRPr="003F7485" w:rsidRDefault="00A849FA" w:rsidP="00A849FA">
      <w:pPr>
        <w:jc w:val="both"/>
        <w:rPr>
          <w:rFonts w:cstheme="minorHAnsi"/>
          <w:sz w:val="24"/>
          <w:szCs w:val="24"/>
        </w:rPr>
      </w:pPr>
      <w:r>
        <w:rPr>
          <w:rFonts w:cstheme="minorHAnsi"/>
          <w:sz w:val="24"/>
          <w:szCs w:val="24"/>
        </w:rPr>
        <w:t>[3]</w:t>
      </w:r>
    </w:p>
    <w:p w14:paraId="7A27D928" w14:textId="77777777" w:rsidR="00A849FA" w:rsidRDefault="00A849FA" w:rsidP="00DF5246">
      <w:pPr>
        <w:pStyle w:val="ListParagraph"/>
        <w:jc w:val="both"/>
        <w:rPr>
          <w:rFonts w:cstheme="minorHAnsi"/>
          <w:sz w:val="24"/>
          <w:szCs w:val="24"/>
        </w:rPr>
      </w:pPr>
    </w:p>
    <w:p w14:paraId="713D9EDF" w14:textId="77777777" w:rsidR="00FA1DDE" w:rsidRDefault="00FA1DDE" w:rsidP="00DF5246">
      <w:pPr>
        <w:pStyle w:val="ListParagraph"/>
        <w:jc w:val="both"/>
        <w:rPr>
          <w:rFonts w:cstheme="minorHAnsi"/>
          <w:sz w:val="24"/>
          <w:szCs w:val="24"/>
        </w:rPr>
      </w:pPr>
    </w:p>
    <w:p w14:paraId="1E285F82" w14:textId="7F380913" w:rsidR="00D97D91" w:rsidRDefault="004E2DAD" w:rsidP="00DF5246">
      <w:pPr>
        <w:pStyle w:val="ListParagraph"/>
        <w:jc w:val="both"/>
        <w:rPr>
          <w:rFonts w:cstheme="minorHAnsi"/>
          <w:sz w:val="24"/>
          <w:szCs w:val="24"/>
        </w:rPr>
      </w:pPr>
      <w:r>
        <w:rPr>
          <w:rFonts w:cstheme="minorHAnsi"/>
          <w:sz w:val="24"/>
          <w:szCs w:val="24"/>
        </w:rPr>
        <w:t xml:space="preserve">Early phase I plans indicated the production of </w:t>
      </w:r>
      <w:r w:rsidR="0057162A">
        <w:rPr>
          <w:rFonts w:cstheme="minorHAnsi"/>
          <w:sz w:val="24"/>
          <w:szCs w:val="24"/>
        </w:rPr>
        <w:t>35000 tonnes per annum (</w:t>
      </w:r>
      <w:r w:rsidR="00E905B6">
        <w:rPr>
          <w:rFonts w:cstheme="minorHAnsi"/>
          <w:sz w:val="24"/>
          <w:szCs w:val="24"/>
        </w:rPr>
        <w:t>TPA</w:t>
      </w:r>
      <w:r w:rsidR="0057162A">
        <w:rPr>
          <w:rFonts w:cstheme="minorHAnsi"/>
          <w:sz w:val="24"/>
          <w:szCs w:val="24"/>
        </w:rPr>
        <w:t xml:space="preserve">) </w:t>
      </w:r>
      <w:r w:rsidR="009764D5">
        <w:rPr>
          <w:rFonts w:cstheme="minorHAnsi"/>
          <w:sz w:val="24"/>
          <w:szCs w:val="24"/>
        </w:rPr>
        <w:t xml:space="preserve">of LCE by Lithium Nevada, which is a subsidiary wholly owned by Lithium Americas and operates at </w:t>
      </w:r>
      <w:r w:rsidR="00E905B6">
        <w:rPr>
          <w:rFonts w:cstheme="minorHAnsi"/>
          <w:sz w:val="24"/>
          <w:szCs w:val="24"/>
        </w:rPr>
        <w:t>Thacker Pass, Nevada.</w:t>
      </w:r>
      <w:r w:rsidR="007C60F7">
        <w:rPr>
          <w:rFonts w:cstheme="minorHAnsi"/>
          <w:sz w:val="24"/>
          <w:szCs w:val="24"/>
        </w:rPr>
        <w:t xml:space="preserve"> </w:t>
      </w:r>
    </w:p>
    <w:p w14:paraId="3F59E9D6" w14:textId="77777777" w:rsidR="007C60F7" w:rsidRDefault="007C60F7" w:rsidP="00DF5246">
      <w:pPr>
        <w:pStyle w:val="ListParagraph"/>
        <w:jc w:val="both"/>
        <w:rPr>
          <w:rFonts w:cstheme="minorHAnsi"/>
          <w:sz w:val="24"/>
          <w:szCs w:val="24"/>
        </w:rPr>
      </w:pPr>
    </w:p>
    <w:p w14:paraId="1AC29800" w14:textId="3E576719" w:rsidR="007C60F7" w:rsidRDefault="007C60F7" w:rsidP="00DF5246">
      <w:pPr>
        <w:pStyle w:val="ListParagraph"/>
        <w:jc w:val="both"/>
        <w:rPr>
          <w:rFonts w:cstheme="minorHAnsi"/>
          <w:sz w:val="24"/>
          <w:szCs w:val="24"/>
        </w:rPr>
      </w:pPr>
      <w:r w:rsidRPr="007C60F7">
        <w:rPr>
          <w:rStyle w:val="Strong"/>
          <w:rFonts w:cstheme="minorHAnsi"/>
          <w:sz w:val="24"/>
          <w:szCs w:val="24"/>
        </w:rPr>
        <w:t xml:space="preserve">Incorporating Phase 2 to target </w:t>
      </w:r>
      <w:r>
        <w:rPr>
          <w:rStyle w:val="Strong"/>
          <w:rFonts w:cstheme="minorHAnsi"/>
          <w:sz w:val="24"/>
          <w:szCs w:val="24"/>
        </w:rPr>
        <w:t xml:space="preserve">an </w:t>
      </w:r>
      <w:r w:rsidRPr="007C60F7">
        <w:rPr>
          <w:rStyle w:val="Strong"/>
          <w:rFonts w:cstheme="minorHAnsi"/>
          <w:sz w:val="24"/>
          <w:szCs w:val="24"/>
        </w:rPr>
        <w:t xml:space="preserve">additional 40,000 </w:t>
      </w:r>
      <w:r w:rsidR="00AD0ADC">
        <w:rPr>
          <w:rStyle w:val="Strong"/>
          <w:rFonts w:cstheme="minorHAnsi"/>
          <w:sz w:val="24"/>
          <w:szCs w:val="24"/>
        </w:rPr>
        <w:t>TPA</w:t>
      </w:r>
      <w:r w:rsidRPr="007C60F7">
        <w:rPr>
          <w:rStyle w:val="Strong"/>
          <w:rFonts w:cstheme="minorHAnsi"/>
          <w:sz w:val="24"/>
          <w:szCs w:val="24"/>
        </w:rPr>
        <w:t xml:space="preserve"> capacity. </w:t>
      </w:r>
      <w:r>
        <w:rPr>
          <w:rFonts w:cstheme="minorHAnsi"/>
          <w:sz w:val="24"/>
          <w:szCs w:val="24"/>
        </w:rPr>
        <w:t>A feasibility</w:t>
      </w:r>
      <w:r w:rsidRPr="007C60F7">
        <w:rPr>
          <w:rFonts w:cstheme="minorHAnsi"/>
          <w:sz w:val="24"/>
          <w:szCs w:val="24"/>
        </w:rPr>
        <w:t xml:space="preserve"> Study is being designed to incorporate a potential Phase 2 expansion scenario to target </w:t>
      </w:r>
      <w:r>
        <w:rPr>
          <w:rFonts w:cstheme="minorHAnsi"/>
          <w:sz w:val="24"/>
          <w:szCs w:val="24"/>
        </w:rPr>
        <w:t xml:space="preserve">a </w:t>
      </w:r>
      <w:r w:rsidRPr="007C60F7">
        <w:rPr>
          <w:rFonts w:cstheme="minorHAnsi"/>
          <w:sz w:val="24"/>
          <w:szCs w:val="24"/>
        </w:rPr>
        <w:t xml:space="preserve">total capacity of 80,000 </w:t>
      </w:r>
      <w:r>
        <w:rPr>
          <w:rFonts w:cstheme="minorHAnsi"/>
          <w:sz w:val="24"/>
          <w:szCs w:val="24"/>
        </w:rPr>
        <w:t>TPA</w:t>
      </w:r>
      <w:r w:rsidRPr="007C60F7">
        <w:rPr>
          <w:rFonts w:cstheme="minorHAnsi"/>
          <w:sz w:val="24"/>
          <w:szCs w:val="24"/>
        </w:rPr>
        <w:t xml:space="preserve"> to meet potential partner and customer demand. The Company expects to provide an update on </w:t>
      </w:r>
      <w:r>
        <w:rPr>
          <w:rFonts w:cstheme="minorHAnsi"/>
          <w:sz w:val="24"/>
          <w:szCs w:val="24"/>
        </w:rPr>
        <w:t xml:space="preserve">the </w:t>
      </w:r>
      <w:r w:rsidRPr="007C60F7">
        <w:rPr>
          <w:rFonts w:cstheme="minorHAnsi"/>
          <w:sz w:val="24"/>
          <w:szCs w:val="24"/>
        </w:rPr>
        <w:t>timing of the Feasibility Study by early 2022 to align with the strategic partnership process and ongoing engineering work.</w:t>
      </w:r>
    </w:p>
    <w:p w14:paraId="67A8D27A" w14:textId="77777777" w:rsidR="00417400" w:rsidRDefault="00417400" w:rsidP="00DF5246">
      <w:pPr>
        <w:pStyle w:val="ListParagraph"/>
        <w:jc w:val="both"/>
        <w:rPr>
          <w:rFonts w:cstheme="minorHAnsi"/>
          <w:sz w:val="24"/>
          <w:szCs w:val="24"/>
        </w:rPr>
      </w:pPr>
    </w:p>
    <w:p w14:paraId="7B2B3F48" w14:textId="77777777" w:rsidR="004B32AA" w:rsidRDefault="00417400" w:rsidP="004B32AA">
      <w:pPr>
        <w:pStyle w:val="ListParagraph"/>
        <w:jc w:val="both"/>
        <w:rPr>
          <w:rFonts w:cstheme="minorHAnsi"/>
          <w:sz w:val="24"/>
          <w:szCs w:val="24"/>
        </w:rPr>
      </w:pPr>
      <w:r w:rsidRPr="00417400">
        <w:rPr>
          <w:rFonts w:cstheme="minorHAnsi"/>
          <w:sz w:val="24"/>
          <w:szCs w:val="24"/>
        </w:rPr>
        <w:t xml:space="preserve">The Record of Decision (“ROD”) was received in January 2021 from the Bureau of Land Management (“BLM”). In February 2021, claims were filed against the BLM to appeal the issuance of the ROD. Injunction requests over the Company’s plan to begin pre-construction work were denied in Q3 2021. A court hearing on the appeal is expected to take place in February 2022, with the ruling to follow shortly thereafter. </w:t>
      </w:r>
    </w:p>
    <w:p w14:paraId="1DE7B789" w14:textId="77777777" w:rsidR="004B32AA" w:rsidRDefault="004B32AA" w:rsidP="004B32AA">
      <w:pPr>
        <w:pStyle w:val="ListParagraph"/>
        <w:jc w:val="both"/>
        <w:rPr>
          <w:rFonts w:cstheme="minorHAnsi"/>
          <w:sz w:val="24"/>
          <w:szCs w:val="24"/>
        </w:rPr>
      </w:pPr>
    </w:p>
    <w:p w14:paraId="4F8901B3" w14:textId="77777777" w:rsidR="004B32AA" w:rsidRDefault="006D5421" w:rsidP="004B32AA">
      <w:pPr>
        <w:pStyle w:val="ListParagraph"/>
        <w:jc w:val="both"/>
        <w:rPr>
          <w:rFonts w:cstheme="minorHAnsi"/>
          <w:sz w:val="24"/>
          <w:szCs w:val="24"/>
        </w:rPr>
      </w:pPr>
      <w:r w:rsidRPr="006D5421">
        <w:rPr>
          <w:rStyle w:val="Strong"/>
          <w:rFonts w:cstheme="minorHAnsi"/>
          <w:sz w:val="24"/>
          <w:szCs w:val="24"/>
        </w:rPr>
        <w:t>February 7, 2023 – Vancouver, Canada: Lithium Americas Corp. (TSX: LAC) (NYSE: LAC) </w:t>
      </w:r>
      <w:r w:rsidRPr="006D5421">
        <w:rPr>
          <w:rFonts w:cstheme="minorHAnsi"/>
          <w:sz w:val="24"/>
          <w:szCs w:val="24"/>
        </w:rPr>
        <w:t>(“</w:t>
      </w:r>
      <w:r w:rsidRPr="006D5421">
        <w:rPr>
          <w:rStyle w:val="Strong"/>
          <w:rFonts w:cstheme="minorHAnsi"/>
          <w:sz w:val="24"/>
          <w:szCs w:val="24"/>
        </w:rPr>
        <w:t>Lithium Americas</w:t>
      </w:r>
      <w:r w:rsidRPr="006D5421">
        <w:rPr>
          <w:rFonts w:cstheme="minorHAnsi"/>
          <w:sz w:val="24"/>
          <w:szCs w:val="24"/>
        </w:rPr>
        <w:t>”</w:t>
      </w:r>
      <w:r w:rsidRPr="006D5421">
        <w:rPr>
          <w:rStyle w:val="Strong"/>
          <w:rFonts w:cstheme="minorHAnsi"/>
          <w:sz w:val="24"/>
          <w:szCs w:val="24"/>
        </w:rPr>
        <w:t> or the </w:t>
      </w:r>
      <w:r w:rsidRPr="006D5421">
        <w:rPr>
          <w:rFonts w:cstheme="minorHAnsi"/>
          <w:sz w:val="24"/>
          <w:szCs w:val="24"/>
        </w:rPr>
        <w:t>“</w:t>
      </w:r>
      <w:r w:rsidRPr="006D5421">
        <w:rPr>
          <w:rStyle w:val="Strong"/>
          <w:rFonts w:cstheme="minorHAnsi"/>
          <w:sz w:val="24"/>
          <w:szCs w:val="24"/>
        </w:rPr>
        <w:t>Company</w:t>
      </w:r>
      <w:r w:rsidRPr="006D5421">
        <w:rPr>
          <w:rFonts w:cstheme="minorHAnsi"/>
          <w:sz w:val="24"/>
          <w:szCs w:val="24"/>
        </w:rPr>
        <w:t>”) received a favorable ruling from the US District Court, District of Nevada (“</w:t>
      </w:r>
      <w:r w:rsidRPr="006D5421">
        <w:rPr>
          <w:rStyle w:val="Strong"/>
          <w:rFonts w:cstheme="minorHAnsi"/>
          <w:sz w:val="24"/>
          <w:szCs w:val="24"/>
        </w:rPr>
        <w:t>Federal Court</w:t>
      </w:r>
      <w:r w:rsidRPr="006D5421">
        <w:rPr>
          <w:rFonts w:cstheme="minorHAnsi"/>
          <w:sz w:val="24"/>
          <w:szCs w:val="24"/>
        </w:rPr>
        <w:t>”) on February 6, 2023, for the appeal filed against the Bureau of Land Management (“</w:t>
      </w:r>
      <w:r w:rsidRPr="006D5421">
        <w:rPr>
          <w:rStyle w:val="Strong"/>
          <w:rFonts w:cstheme="minorHAnsi"/>
          <w:sz w:val="24"/>
          <w:szCs w:val="24"/>
        </w:rPr>
        <w:t>BLM</w:t>
      </w:r>
      <w:r w:rsidRPr="006D5421">
        <w:rPr>
          <w:rFonts w:cstheme="minorHAnsi"/>
          <w:sz w:val="24"/>
          <w:szCs w:val="24"/>
        </w:rPr>
        <w:t>”) for the issuance of the Record of Decision (“</w:t>
      </w:r>
      <w:r w:rsidRPr="006D5421">
        <w:rPr>
          <w:rStyle w:val="Strong"/>
          <w:rFonts w:cstheme="minorHAnsi"/>
          <w:sz w:val="24"/>
          <w:szCs w:val="24"/>
        </w:rPr>
        <w:t>ROD</w:t>
      </w:r>
      <w:r w:rsidRPr="006D5421">
        <w:rPr>
          <w:rFonts w:cstheme="minorHAnsi"/>
          <w:sz w:val="24"/>
          <w:szCs w:val="24"/>
        </w:rPr>
        <w:t>”) relating to the Company’s 100%-owned Thacker Pass project (“</w:t>
      </w:r>
      <w:r w:rsidRPr="006D5421">
        <w:rPr>
          <w:rStyle w:val="Strong"/>
          <w:rFonts w:cstheme="minorHAnsi"/>
          <w:sz w:val="24"/>
          <w:szCs w:val="24"/>
        </w:rPr>
        <w:t>Thacker Pass</w:t>
      </w:r>
      <w:r w:rsidRPr="006D5421">
        <w:rPr>
          <w:rFonts w:cstheme="minorHAnsi"/>
          <w:sz w:val="24"/>
          <w:szCs w:val="24"/>
        </w:rPr>
        <w:t>” or the “</w:t>
      </w:r>
      <w:r w:rsidRPr="006D5421">
        <w:rPr>
          <w:rStyle w:val="Strong"/>
          <w:rFonts w:cstheme="minorHAnsi"/>
          <w:sz w:val="24"/>
          <w:szCs w:val="24"/>
        </w:rPr>
        <w:t>Project</w:t>
      </w:r>
      <w:r w:rsidRPr="006D5421">
        <w:rPr>
          <w:rFonts w:cstheme="minorHAnsi"/>
          <w:sz w:val="24"/>
          <w:szCs w:val="24"/>
        </w:rPr>
        <w:t>”) located in Humboldt Country, Nevada. The Federal Court has declined to vacate the ROD for the mining Plan of Operations (the “</w:t>
      </w:r>
      <w:r w:rsidRPr="006D5421">
        <w:rPr>
          <w:rStyle w:val="Strong"/>
          <w:rFonts w:cstheme="minorHAnsi"/>
          <w:sz w:val="24"/>
          <w:szCs w:val="24"/>
        </w:rPr>
        <w:t>Federal Permit</w:t>
      </w:r>
      <w:r w:rsidRPr="006D5421">
        <w:rPr>
          <w:rFonts w:cstheme="minorHAnsi"/>
          <w:sz w:val="24"/>
          <w:szCs w:val="24"/>
        </w:rPr>
        <w:t>”).</w:t>
      </w:r>
      <w:r w:rsidR="004B32AA">
        <w:rPr>
          <w:rFonts w:cstheme="minorHAnsi"/>
          <w:sz w:val="24"/>
          <w:szCs w:val="24"/>
        </w:rPr>
        <w:t xml:space="preserve"> </w:t>
      </w:r>
      <w:r w:rsidRPr="006D5421">
        <w:rPr>
          <w:rFonts w:cstheme="minorHAnsi"/>
          <w:sz w:val="24"/>
          <w:szCs w:val="24"/>
        </w:rPr>
        <w:t xml:space="preserve">The favorable ruling by the Federal Court confirms the permitting process for Thacker Pass was conducted thoroughly and responsibly and </w:t>
      </w:r>
      <w:r w:rsidR="00AD0ADC">
        <w:rPr>
          <w:rFonts w:cstheme="minorHAnsi"/>
        </w:rPr>
        <w:t>resulted</w:t>
      </w:r>
      <w:r w:rsidRPr="006D5421">
        <w:rPr>
          <w:rFonts w:cstheme="minorHAnsi"/>
          <w:sz w:val="24"/>
          <w:szCs w:val="24"/>
        </w:rPr>
        <w:t xml:space="preserve"> in there being no impediment to commencing construction. The Federal Court ordered the BLM to consider one issue under the mining law relating to the area designated for waste storage and tailings and did not impose any restrictions expected to impact the construction timeline.</w:t>
      </w:r>
    </w:p>
    <w:p w14:paraId="33E15626" w14:textId="77777777" w:rsidR="004B32AA" w:rsidRDefault="004B32AA" w:rsidP="004B32AA">
      <w:pPr>
        <w:pStyle w:val="ListParagraph"/>
        <w:jc w:val="both"/>
        <w:rPr>
          <w:rFonts w:cstheme="minorHAnsi"/>
          <w:sz w:val="24"/>
          <w:szCs w:val="24"/>
        </w:rPr>
      </w:pPr>
    </w:p>
    <w:p w14:paraId="5D6BEDBB" w14:textId="77777777" w:rsidR="00F010F9" w:rsidRDefault="006D5421" w:rsidP="00F010F9">
      <w:pPr>
        <w:pStyle w:val="ListParagraph"/>
        <w:jc w:val="both"/>
        <w:rPr>
          <w:rFonts w:cstheme="minorHAnsi"/>
          <w:sz w:val="24"/>
          <w:szCs w:val="24"/>
        </w:rPr>
      </w:pPr>
      <w:r w:rsidRPr="006D5421">
        <w:rPr>
          <w:rFonts w:cstheme="minorHAnsi"/>
          <w:sz w:val="24"/>
          <w:szCs w:val="24"/>
        </w:rPr>
        <w:lastRenderedPageBreak/>
        <w:t>“We are pleased that the Federal Court has recognized the BLM’s decision to issue the Federal Permit, reflecting our considerable efforts to ensure Thacker Pass is developed responsibly and for the benefit of all stakeholders,” said Jonathan Evans, President</w:t>
      </w:r>
      <w:r w:rsidR="00AD0ADC">
        <w:rPr>
          <w:rFonts w:cstheme="minorHAnsi"/>
        </w:rPr>
        <w:t>,</w:t>
      </w:r>
      <w:r w:rsidRPr="006D5421">
        <w:rPr>
          <w:rFonts w:cstheme="minorHAnsi"/>
          <w:sz w:val="24"/>
          <w:szCs w:val="24"/>
        </w:rPr>
        <w:t xml:space="preserve"> and CEO. “The favorable ruling leaves in place the final regulatory approval needed in moving Thacker Pass into construction.”</w:t>
      </w:r>
      <w:r w:rsidR="004B32AA">
        <w:rPr>
          <w:rFonts w:cstheme="minorHAnsi"/>
          <w:sz w:val="24"/>
          <w:szCs w:val="24"/>
        </w:rPr>
        <w:t xml:space="preserve"> </w:t>
      </w:r>
      <w:r w:rsidRPr="006D5421">
        <w:rPr>
          <w:rFonts w:cstheme="minorHAnsi"/>
          <w:sz w:val="24"/>
          <w:szCs w:val="24"/>
        </w:rPr>
        <w:t>The Federal Court rejected arguments that the Project will cause unnecessary and undue degradation to the local sage grouse population and habitat, groundwater aquifers</w:t>
      </w:r>
      <w:r w:rsidR="00AD0ADC">
        <w:rPr>
          <w:rFonts w:cstheme="minorHAnsi"/>
        </w:rPr>
        <w:t>,</w:t>
      </w:r>
      <w:r w:rsidRPr="006D5421">
        <w:rPr>
          <w:rFonts w:cstheme="minorHAnsi"/>
          <w:sz w:val="24"/>
          <w:szCs w:val="24"/>
        </w:rPr>
        <w:t xml:space="preserve"> and air quality; that the BLM failed to adequately assess the Project’s impacts on air quality, wildlife</w:t>
      </w:r>
      <w:r w:rsidR="00AD0ADC">
        <w:rPr>
          <w:rFonts w:cstheme="minorHAnsi"/>
        </w:rPr>
        <w:t>,</w:t>
      </w:r>
      <w:r w:rsidRPr="006D5421">
        <w:rPr>
          <w:rFonts w:cstheme="minorHAnsi"/>
          <w:sz w:val="24"/>
          <w:szCs w:val="24"/>
        </w:rPr>
        <w:t xml:space="preserve"> and groundwater; that the BLM failed to adequately consider the Project’s impacts to culturally or religiously significant areas; and that BLM acted unreasonably or in bad faith in identifying tribes for consultation before approving the Project.</w:t>
      </w:r>
      <w:r w:rsidR="004B32AA">
        <w:rPr>
          <w:rFonts w:cstheme="minorHAnsi"/>
          <w:sz w:val="24"/>
          <w:szCs w:val="24"/>
        </w:rPr>
        <w:t xml:space="preserve"> </w:t>
      </w:r>
      <w:r w:rsidRPr="006D5421">
        <w:rPr>
          <w:rFonts w:cstheme="minorHAnsi"/>
          <w:sz w:val="24"/>
          <w:szCs w:val="24"/>
        </w:rPr>
        <w:t>The remand issued by Federal Court to the BLM is to determine whether the Company possesses adequate mining-claim rights to the lands over the area in which the waste storage and tailings are expected to be located, based on an appellate decision that was issued after the BLM issued its ROD for Thacker Pass. The Company intends to work closely with the BLM to complete the required follow-up</w:t>
      </w:r>
      <w:r w:rsidR="00203DEC">
        <w:rPr>
          <w:rFonts w:cstheme="minorHAnsi"/>
          <w:sz w:val="24"/>
          <w:szCs w:val="24"/>
        </w:rPr>
        <w:t xml:space="preserve"> [3]</w:t>
      </w:r>
      <w:r w:rsidRPr="006D5421">
        <w:rPr>
          <w:rFonts w:cstheme="minorHAnsi"/>
          <w:sz w:val="24"/>
          <w:szCs w:val="24"/>
        </w:rPr>
        <w:t>.</w:t>
      </w:r>
    </w:p>
    <w:p w14:paraId="68518D61" w14:textId="77777777" w:rsidR="00F010F9" w:rsidRDefault="00F010F9" w:rsidP="00F010F9">
      <w:pPr>
        <w:pStyle w:val="ListParagraph"/>
        <w:jc w:val="both"/>
        <w:rPr>
          <w:rFonts w:cstheme="minorHAnsi"/>
          <w:sz w:val="24"/>
          <w:szCs w:val="24"/>
        </w:rPr>
      </w:pPr>
    </w:p>
    <w:p w14:paraId="19A02D7E" w14:textId="77777777" w:rsidR="00AC4515" w:rsidRDefault="00271018" w:rsidP="00F010F9">
      <w:pPr>
        <w:pStyle w:val="ListParagraph"/>
        <w:jc w:val="both"/>
        <w:rPr>
          <w:rFonts w:cstheme="minorHAnsi"/>
          <w:sz w:val="24"/>
          <w:szCs w:val="24"/>
        </w:rPr>
      </w:pPr>
      <w:r>
        <w:rPr>
          <w:rFonts w:cstheme="minorHAnsi"/>
          <w:sz w:val="24"/>
          <w:szCs w:val="24"/>
        </w:rPr>
        <w:t>This</w:t>
      </w:r>
      <w:r w:rsidR="00A849FA">
        <w:rPr>
          <w:rFonts w:cstheme="minorHAnsi"/>
          <w:sz w:val="24"/>
          <w:szCs w:val="24"/>
        </w:rPr>
        <w:t xml:space="preserve"> is</w:t>
      </w:r>
      <w:r w:rsidR="00F010F9">
        <w:rPr>
          <w:rFonts w:cstheme="minorHAnsi"/>
          <w:sz w:val="24"/>
          <w:szCs w:val="24"/>
        </w:rPr>
        <w:t xml:space="preserve"> a phenomenal addition to the </w:t>
      </w:r>
      <w:r w:rsidR="007C5456">
        <w:rPr>
          <w:rFonts w:cstheme="minorHAnsi"/>
          <w:sz w:val="24"/>
          <w:szCs w:val="24"/>
        </w:rPr>
        <w:t xml:space="preserve">domestication of the lithium supply chain. </w:t>
      </w:r>
      <w:r w:rsidR="00CC6BCC">
        <w:rPr>
          <w:rFonts w:cstheme="minorHAnsi"/>
          <w:sz w:val="24"/>
          <w:szCs w:val="24"/>
        </w:rPr>
        <w:t xml:space="preserve">The operation of Thacker Pass in Nevada along with the Silver </w:t>
      </w:r>
      <w:r w:rsidR="00D52A7E">
        <w:rPr>
          <w:rFonts w:cstheme="minorHAnsi"/>
          <w:sz w:val="24"/>
          <w:szCs w:val="24"/>
        </w:rPr>
        <w:t>Peak</w:t>
      </w:r>
      <w:r w:rsidR="00CC6BCC">
        <w:rPr>
          <w:rFonts w:cstheme="minorHAnsi"/>
          <w:sz w:val="24"/>
          <w:szCs w:val="24"/>
        </w:rPr>
        <w:t xml:space="preserve"> Lithium Mine </w:t>
      </w:r>
      <w:r w:rsidR="00D52A7E">
        <w:rPr>
          <w:rFonts w:cstheme="minorHAnsi"/>
          <w:sz w:val="24"/>
          <w:szCs w:val="24"/>
        </w:rPr>
        <w:t xml:space="preserve">will produce around 100,000 </w:t>
      </w:r>
      <w:r w:rsidR="00DC41B3">
        <w:rPr>
          <w:rFonts w:cstheme="minorHAnsi"/>
          <w:sz w:val="24"/>
          <w:szCs w:val="24"/>
        </w:rPr>
        <w:t>TPA of LCE</w:t>
      </w:r>
      <w:r w:rsidR="00613FB3">
        <w:rPr>
          <w:rFonts w:cstheme="minorHAnsi"/>
          <w:sz w:val="24"/>
          <w:szCs w:val="24"/>
        </w:rPr>
        <w:t xml:space="preserve">. </w:t>
      </w:r>
    </w:p>
    <w:p w14:paraId="1A254DDA" w14:textId="77777777" w:rsidR="00AC4515" w:rsidRDefault="00AC4515" w:rsidP="00F010F9">
      <w:pPr>
        <w:pStyle w:val="ListParagraph"/>
        <w:jc w:val="both"/>
        <w:rPr>
          <w:rFonts w:cstheme="minorHAnsi"/>
          <w:sz w:val="24"/>
          <w:szCs w:val="24"/>
        </w:rPr>
      </w:pPr>
    </w:p>
    <w:p w14:paraId="2985CC4F" w14:textId="71E19162" w:rsidR="00B84A8B" w:rsidRDefault="00AC4515" w:rsidP="00F74CDC">
      <w:pPr>
        <w:pStyle w:val="ListParagraph"/>
        <w:jc w:val="both"/>
        <w:rPr>
          <w:rFonts w:cstheme="minorHAnsi"/>
          <w:color w:val="000000"/>
          <w:sz w:val="24"/>
          <w:szCs w:val="24"/>
        </w:rPr>
      </w:pPr>
      <w:r>
        <w:rPr>
          <w:rFonts w:cstheme="minorHAnsi"/>
          <w:sz w:val="24"/>
          <w:szCs w:val="24"/>
        </w:rPr>
        <w:t xml:space="preserve">This is a great first step to </w:t>
      </w:r>
      <w:r w:rsidR="00DC4950">
        <w:rPr>
          <w:rFonts w:cstheme="minorHAnsi"/>
          <w:sz w:val="24"/>
          <w:szCs w:val="24"/>
        </w:rPr>
        <w:t xml:space="preserve">the </w:t>
      </w:r>
      <w:r>
        <w:rPr>
          <w:rFonts w:cstheme="minorHAnsi"/>
          <w:sz w:val="24"/>
          <w:szCs w:val="24"/>
        </w:rPr>
        <w:t xml:space="preserve">domestication of the Lithium supply chain. </w:t>
      </w:r>
      <w:r w:rsidR="00D52A7E">
        <w:rPr>
          <w:rFonts w:cstheme="minorHAnsi"/>
          <w:sz w:val="24"/>
          <w:szCs w:val="24"/>
        </w:rPr>
        <w:t xml:space="preserve"> </w:t>
      </w:r>
      <w:r w:rsidR="00B84A8B" w:rsidRPr="00C45350">
        <w:rPr>
          <w:rFonts w:cstheme="minorHAnsi"/>
          <w:sz w:val="24"/>
          <w:szCs w:val="24"/>
        </w:rPr>
        <w:t xml:space="preserve">One of the other miners </w:t>
      </w:r>
      <w:r w:rsidR="00C45350">
        <w:rPr>
          <w:rFonts w:cstheme="minorHAnsi"/>
          <w:sz w:val="24"/>
          <w:szCs w:val="24"/>
        </w:rPr>
        <w:t>is</w:t>
      </w:r>
      <w:r w:rsidR="00B84A8B" w:rsidRPr="00C45350">
        <w:rPr>
          <w:rFonts w:cstheme="minorHAnsi"/>
          <w:sz w:val="24"/>
          <w:szCs w:val="24"/>
        </w:rPr>
        <w:t xml:space="preserve"> Piedmont Lithium which </w:t>
      </w:r>
      <w:r w:rsidR="00C45350">
        <w:rPr>
          <w:rFonts w:cstheme="minorHAnsi"/>
          <w:sz w:val="24"/>
          <w:szCs w:val="24"/>
        </w:rPr>
        <w:t>operates</w:t>
      </w:r>
      <w:r w:rsidR="00B84A8B" w:rsidRPr="00C45350">
        <w:rPr>
          <w:rFonts w:cstheme="minorHAnsi"/>
          <w:sz w:val="24"/>
          <w:szCs w:val="24"/>
        </w:rPr>
        <w:t xml:space="preserve"> at the Spodumene belt in North Carolina. </w:t>
      </w:r>
      <w:r w:rsidR="00C45350" w:rsidRPr="00C45350">
        <w:rPr>
          <w:rFonts w:cstheme="minorHAnsi"/>
          <w:color w:val="000000"/>
          <w:sz w:val="24"/>
          <w:szCs w:val="24"/>
        </w:rPr>
        <w:t>Piedmont has already spent $58 million on the project, which would produce about 30,000 tonnes of lithium annually, enough to make about 3 million EVs</w:t>
      </w:r>
      <w:r w:rsidR="002414D0">
        <w:rPr>
          <w:rFonts w:cstheme="minorHAnsi"/>
          <w:color w:val="000000"/>
          <w:sz w:val="24"/>
          <w:szCs w:val="24"/>
        </w:rPr>
        <w:t xml:space="preserve"> in about 4 years</w:t>
      </w:r>
      <w:r w:rsidR="00C45350" w:rsidRPr="00C45350">
        <w:rPr>
          <w:rFonts w:cstheme="minorHAnsi"/>
          <w:color w:val="000000"/>
          <w:sz w:val="24"/>
          <w:szCs w:val="24"/>
        </w:rPr>
        <w:t>.</w:t>
      </w:r>
      <w:r w:rsidR="00F74CDC">
        <w:rPr>
          <w:rFonts w:cstheme="minorHAnsi"/>
          <w:color w:val="000000"/>
          <w:sz w:val="24"/>
          <w:szCs w:val="24"/>
        </w:rPr>
        <w:t xml:space="preserve"> </w:t>
      </w:r>
      <w:r w:rsidR="00C45350" w:rsidRPr="00C45350">
        <w:rPr>
          <w:rFonts w:cstheme="minorHAnsi"/>
          <w:color w:val="000000"/>
          <w:sz w:val="24"/>
          <w:szCs w:val="24"/>
        </w:rPr>
        <w:t xml:space="preserve">The company originally planned to put its chemical plant in a neighboring county, but now intends to build it near the mine, a step that should reduce truck traffic. Piedmont also plans to crush rock in the mine pit, </w:t>
      </w:r>
      <w:r w:rsidR="00F74CDC">
        <w:rPr>
          <w:rFonts w:cstheme="minorHAnsi"/>
          <w:color w:val="000000"/>
          <w:sz w:val="24"/>
          <w:szCs w:val="24"/>
        </w:rPr>
        <w:t>alleviate</w:t>
      </w:r>
      <w:r w:rsidR="00C45350" w:rsidRPr="00C45350">
        <w:rPr>
          <w:rFonts w:cstheme="minorHAnsi"/>
          <w:color w:val="000000"/>
          <w:sz w:val="24"/>
          <w:szCs w:val="24"/>
        </w:rPr>
        <w:t xml:space="preserve"> dust, and incorporate solar power.</w:t>
      </w:r>
    </w:p>
    <w:p w14:paraId="6CA302F6" w14:textId="77777777" w:rsidR="00A7449D" w:rsidRDefault="00A7449D" w:rsidP="00F74CDC">
      <w:pPr>
        <w:pStyle w:val="ListParagraph"/>
        <w:jc w:val="both"/>
        <w:rPr>
          <w:rFonts w:cstheme="minorHAnsi"/>
          <w:color w:val="000000"/>
          <w:sz w:val="24"/>
          <w:szCs w:val="24"/>
        </w:rPr>
      </w:pPr>
    </w:p>
    <w:p w14:paraId="0356E6E1" w14:textId="32471C55" w:rsidR="00A7449D" w:rsidRPr="00A7449D" w:rsidRDefault="00A7449D" w:rsidP="00F74CDC">
      <w:pPr>
        <w:pStyle w:val="ListParagraph"/>
        <w:jc w:val="both"/>
        <w:rPr>
          <w:rFonts w:cstheme="minorHAnsi"/>
          <w:sz w:val="24"/>
          <w:szCs w:val="24"/>
        </w:rPr>
      </w:pPr>
      <w:r w:rsidRPr="00A7449D">
        <w:rPr>
          <w:rFonts w:cstheme="minorHAnsi"/>
          <w:color w:val="000000"/>
          <w:sz w:val="24"/>
          <w:szCs w:val="24"/>
        </w:rPr>
        <w:t>Piedmont’s deal with Tesla involves supplying roughly 53,000 tonnes of spodumene concentrate to the automaker’s planned lithium hydroxide chemical plant in Texas starting sometime between July 2022 and July 2023.</w:t>
      </w:r>
    </w:p>
    <w:p w14:paraId="71A36821" w14:textId="77777777" w:rsidR="00DC4950" w:rsidRDefault="00DC4950" w:rsidP="00DC4950">
      <w:pPr>
        <w:pStyle w:val="ListParagraph"/>
        <w:jc w:val="both"/>
        <w:rPr>
          <w:rFonts w:cstheme="minorHAnsi"/>
          <w:sz w:val="24"/>
          <w:szCs w:val="24"/>
        </w:rPr>
      </w:pPr>
    </w:p>
    <w:p w14:paraId="2DE30430" w14:textId="21E33228" w:rsidR="00DC4950" w:rsidRDefault="00DC4950" w:rsidP="00DC4950">
      <w:pPr>
        <w:pStyle w:val="ListParagraph"/>
        <w:numPr>
          <w:ilvl w:val="0"/>
          <w:numId w:val="2"/>
        </w:numPr>
        <w:jc w:val="both"/>
        <w:rPr>
          <w:rFonts w:cstheme="minorHAnsi"/>
          <w:b/>
          <w:bCs/>
          <w:sz w:val="24"/>
          <w:szCs w:val="24"/>
        </w:rPr>
      </w:pPr>
      <w:r>
        <w:rPr>
          <w:rFonts w:cstheme="minorHAnsi"/>
          <w:b/>
          <w:bCs/>
          <w:sz w:val="24"/>
          <w:szCs w:val="24"/>
        </w:rPr>
        <w:t>Ore Processing and Lithium Oxide Production</w:t>
      </w:r>
    </w:p>
    <w:p w14:paraId="5D48021F" w14:textId="77777777" w:rsidR="00DC4950" w:rsidRDefault="00DC4950" w:rsidP="00DC4950">
      <w:pPr>
        <w:pStyle w:val="ListParagraph"/>
        <w:jc w:val="both"/>
        <w:rPr>
          <w:rFonts w:cstheme="minorHAnsi"/>
          <w:sz w:val="24"/>
          <w:szCs w:val="24"/>
        </w:rPr>
      </w:pPr>
    </w:p>
    <w:p w14:paraId="6EF0249D" w14:textId="5FACAE12" w:rsidR="00DC4950" w:rsidRDefault="00DC4950" w:rsidP="00DC4950">
      <w:pPr>
        <w:pStyle w:val="ListParagraph"/>
        <w:jc w:val="both"/>
        <w:rPr>
          <w:rFonts w:cstheme="minorHAnsi"/>
          <w:sz w:val="24"/>
          <w:szCs w:val="24"/>
        </w:rPr>
      </w:pPr>
      <w:r>
        <w:rPr>
          <w:rFonts w:cstheme="minorHAnsi"/>
          <w:sz w:val="24"/>
          <w:szCs w:val="24"/>
        </w:rPr>
        <w:t>Lithium o</w:t>
      </w:r>
      <w:r w:rsidR="00181849">
        <w:rPr>
          <w:rFonts w:cstheme="minorHAnsi"/>
          <w:sz w:val="24"/>
          <w:szCs w:val="24"/>
        </w:rPr>
        <w:t xml:space="preserve">re (LCE) extraction alone will not be enough as the extracted raw material has to be processed into the required </w:t>
      </w:r>
      <w:r w:rsidR="006F6B2C">
        <w:rPr>
          <w:rFonts w:cstheme="minorHAnsi"/>
          <w:sz w:val="24"/>
          <w:szCs w:val="24"/>
        </w:rPr>
        <w:t xml:space="preserve">chemical compound, in this case, </w:t>
      </w:r>
      <w:r w:rsidR="0059349D">
        <w:rPr>
          <w:rFonts w:cstheme="minorHAnsi"/>
          <w:sz w:val="24"/>
          <w:szCs w:val="24"/>
        </w:rPr>
        <w:t>into lithium oxide (Lithium Cobalt Oxide to be precise)</w:t>
      </w:r>
      <w:r w:rsidR="001A7E69">
        <w:rPr>
          <w:rFonts w:cstheme="minorHAnsi"/>
          <w:sz w:val="24"/>
          <w:szCs w:val="24"/>
        </w:rPr>
        <w:t xml:space="preserve">. </w:t>
      </w:r>
      <w:r w:rsidR="0024211F">
        <w:rPr>
          <w:rFonts w:cstheme="minorHAnsi"/>
          <w:sz w:val="24"/>
          <w:szCs w:val="24"/>
        </w:rPr>
        <w:t>Currently</w:t>
      </w:r>
      <w:r w:rsidR="007854F2">
        <w:rPr>
          <w:rFonts w:cstheme="minorHAnsi"/>
          <w:sz w:val="24"/>
          <w:szCs w:val="24"/>
        </w:rPr>
        <w:t>,</w:t>
      </w:r>
      <w:r w:rsidR="0024211F">
        <w:rPr>
          <w:rFonts w:cstheme="minorHAnsi"/>
          <w:sz w:val="24"/>
          <w:szCs w:val="24"/>
        </w:rPr>
        <w:t xml:space="preserve"> North America processes and produces about 1000 tonnes, </w:t>
      </w:r>
      <w:r w:rsidR="00F327C4">
        <w:rPr>
          <w:rFonts w:cstheme="minorHAnsi"/>
          <w:sz w:val="24"/>
          <w:szCs w:val="24"/>
        </w:rPr>
        <w:t>1% of global lithium</w:t>
      </w:r>
      <w:r w:rsidR="007854F2">
        <w:rPr>
          <w:rFonts w:cstheme="minorHAnsi"/>
          <w:sz w:val="24"/>
          <w:szCs w:val="24"/>
        </w:rPr>
        <w:t xml:space="preserve"> while China produces 79% of the global lithium</w:t>
      </w:r>
      <w:r w:rsidR="00643A81">
        <w:rPr>
          <w:rFonts w:cstheme="minorHAnsi"/>
          <w:sz w:val="24"/>
          <w:szCs w:val="24"/>
        </w:rPr>
        <w:t xml:space="preserve"> [1]. </w:t>
      </w:r>
      <w:r w:rsidR="00FA79BC">
        <w:rPr>
          <w:rFonts w:cstheme="minorHAnsi"/>
          <w:sz w:val="24"/>
          <w:szCs w:val="24"/>
        </w:rPr>
        <w:t xml:space="preserve">Lithium Americas plans to </w:t>
      </w:r>
      <w:r w:rsidR="0083293D">
        <w:rPr>
          <w:rFonts w:cstheme="minorHAnsi"/>
          <w:sz w:val="24"/>
          <w:szCs w:val="24"/>
        </w:rPr>
        <w:t xml:space="preserve">mine and process LCE on-site at Thacker Pass. </w:t>
      </w:r>
    </w:p>
    <w:p w14:paraId="7FEB92E6" w14:textId="29205D82" w:rsidR="001D49C2" w:rsidRDefault="00A2299A" w:rsidP="00DC4950">
      <w:pPr>
        <w:pStyle w:val="ListParagraph"/>
        <w:jc w:val="both"/>
        <w:rPr>
          <w:rFonts w:cstheme="minorHAnsi"/>
          <w:sz w:val="24"/>
          <w:szCs w:val="24"/>
        </w:rPr>
      </w:pPr>
      <w:r>
        <w:rPr>
          <w:rFonts w:cstheme="minorHAnsi"/>
          <w:sz w:val="24"/>
          <w:szCs w:val="24"/>
        </w:rPr>
        <w:lastRenderedPageBreak/>
        <w:br/>
        <w:t xml:space="preserve">What is the current tonnage of lithium processed in China, and how much tonnage is purchased by American companies from China? </w:t>
      </w:r>
    </w:p>
    <w:p w14:paraId="59B00B55" w14:textId="2A594DFB" w:rsidR="00A2299A" w:rsidRDefault="00A2299A" w:rsidP="00DC4950">
      <w:pPr>
        <w:pStyle w:val="ListParagraph"/>
        <w:jc w:val="both"/>
        <w:rPr>
          <w:rFonts w:cstheme="minorHAnsi"/>
          <w:sz w:val="24"/>
          <w:szCs w:val="24"/>
        </w:rPr>
      </w:pPr>
      <w:r>
        <w:rPr>
          <w:rFonts w:cstheme="minorHAnsi"/>
          <w:sz w:val="24"/>
          <w:szCs w:val="24"/>
        </w:rPr>
        <w:t xml:space="preserve">If </w:t>
      </w:r>
      <w:r w:rsidR="00844F53">
        <w:rPr>
          <w:rFonts w:cstheme="minorHAnsi"/>
          <w:sz w:val="24"/>
          <w:szCs w:val="24"/>
        </w:rPr>
        <w:t xml:space="preserve">the </w:t>
      </w:r>
      <w:r>
        <w:rPr>
          <w:rFonts w:cstheme="minorHAnsi"/>
          <w:sz w:val="24"/>
          <w:szCs w:val="24"/>
        </w:rPr>
        <w:t>USA starts processing lithium ore processing, how much tonnage will they be processing and how will it help lessen their reliance on China?</w:t>
      </w:r>
    </w:p>
    <w:p w14:paraId="0DC1A670" w14:textId="48BAE2BE" w:rsidR="00347A57" w:rsidRPr="00AC5DA7" w:rsidRDefault="0021039E" w:rsidP="00AC5DA7">
      <w:pPr>
        <w:jc w:val="both"/>
        <w:rPr>
          <w:rFonts w:cstheme="minorHAnsi"/>
          <w:sz w:val="24"/>
          <w:szCs w:val="24"/>
        </w:rPr>
      </w:pPr>
      <w:r w:rsidRPr="00AC5DA7">
        <w:rPr>
          <w:rFonts w:cstheme="minorHAnsi"/>
          <w:sz w:val="24"/>
          <w:szCs w:val="24"/>
        </w:rPr>
        <w:t>References</w:t>
      </w:r>
    </w:p>
    <w:p w14:paraId="4B4E7ED7" w14:textId="7E5D1E59" w:rsidR="0021039E" w:rsidRPr="00AC5DA7" w:rsidRDefault="0021039E" w:rsidP="00AC5DA7">
      <w:pPr>
        <w:jc w:val="both"/>
        <w:rPr>
          <w:rFonts w:cstheme="minorHAnsi"/>
          <w:sz w:val="24"/>
          <w:szCs w:val="24"/>
        </w:rPr>
      </w:pPr>
      <w:r w:rsidRPr="00AC5DA7">
        <w:rPr>
          <w:rFonts w:cstheme="minorHAnsi"/>
          <w:sz w:val="24"/>
          <w:szCs w:val="24"/>
        </w:rPr>
        <w:t xml:space="preserve">[1] </w:t>
      </w:r>
      <w:r w:rsidR="003C5A8F" w:rsidRPr="00AC5DA7">
        <w:rPr>
          <w:rFonts w:cstheme="minorHAnsi"/>
          <w:sz w:val="24"/>
          <w:szCs w:val="24"/>
        </w:rPr>
        <w:t>United States Geological Survey</w:t>
      </w:r>
    </w:p>
    <w:p w14:paraId="021C296F" w14:textId="29462A5A" w:rsidR="003C5A8F" w:rsidRDefault="003C5A8F" w:rsidP="00AC5DA7">
      <w:pPr>
        <w:jc w:val="both"/>
        <w:rPr>
          <w:rFonts w:cstheme="minorHAnsi"/>
          <w:sz w:val="24"/>
          <w:szCs w:val="24"/>
        </w:rPr>
      </w:pPr>
      <w:r w:rsidRPr="00AC5DA7">
        <w:rPr>
          <w:rFonts w:cstheme="minorHAnsi"/>
          <w:sz w:val="24"/>
          <w:szCs w:val="24"/>
        </w:rPr>
        <w:t xml:space="preserve">[2] </w:t>
      </w:r>
      <w:r w:rsidR="004272A4" w:rsidRPr="00AC5DA7">
        <w:rPr>
          <w:rFonts w:cstheme="minorHAnsi"/>
          <w:sz w:val="24"/>
          <w:szCs w:val="24"/>
        </w:rPr>
        <w:t>Natural Resources Canada (NRCAN)</w:t>
      </w:r>
    </w:p>
    <w:p w14:paraId="10BEA8A6" w14:textId="1A0A54C8" w:rsidR="001D2FF4" w:rsidRPr="00AC5DA7" w:rsidRDefault="001D2FF4" w:rsidP="00AC5DA7">
      <w:pPr>
        <w:jc w:val="both"/>
        <w:rPr>
          <w:rFonts w:cstheme="minorHAnsi"/>
          <w:sz w:val="24"/>
          <w:szCs w:val="24"/>
        </w:rPr>
      </w:pPr>
      <w:r>
        <w:rPr>
          <w:rFonts w:cstheme="minorHAnsi"/>
          <w:sz w:val="24"/>
          <w:szCs w:val="24"/>
        </w:rPr>
        <w:t xml:space="preserve">[3] Lithium Americas </w:t>
      </w:r>
    </w:p>
    <w:sectPr w:rsidR="001D2FF4" w:rsidRPr="00AC5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B58EE"/>
    <w:multiLevelType w:val="hybridMultilevel"/>
    <w:tmpl w:val="A0BCD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3E4DE7"/>
    <w:multiLevelType w:val="hybridMultilevel"/>
    <w:tmpl w:val="A718D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315A7"/>
    <w:multiLevelType w:val="hybridMultilevel"/>
    <w:tmpl w:val="FC5014B6"/>
    <w:lvl w:ilvl="0" w:tplc="AA9A86DA">
      <w:start w:val="1"/>
      <w:numFmt w:val="decimal"/>
      <w:lvlText w:val="%1."/>
      <w:lvlJc w:val="left"/>
      <w:pPr>
        <w:ind w:left="720" w:hanging="360"/>
      </w:pPr>
      <w:rPr>
        <w:rFonts w:hint="default"/>
        <w:color w:val="17171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70685346">
    <w:abstractNumId w:val="2"/>
  </w:num>
  <w:num w:numId="2" w16cid:durableId="236787735">
    <w:abstractNumId w:val="0"/>
  </w:num>
  <w:num w:numId="3" w16cid:durableId="909971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2D"/>
    <w:rsid w:val="00000B00"/>
    <w:rsid w:val="00010A31"/>
    <w:rsid w:val="00055CDB"/>
    <w:rsid w:val="000F2E96"/>
    <w:rsid w:val="001316FC"/>
    <w:rsid w:val="001478FB"/>
    <w:rsid w:val="00163A7D"/>
    <w:rsid w:val="00181849"/>
    <w:rsid w:val="0018504F"/>
    <w:rsid w:val="00186DCC"/>
    <w:rsid w:val="001A762D"/>
    <w:rsid w:val="001A7E69"/>
    <w:rsid w:val="001D2FF4"/>
    <w:rsid w:val="001D49C2"/>
    <w:rsid w:val="00200AF4"/>
    <w:rsid w:val="00203DEC"/>
    <w:rsid w:val="0021039E"/>
    <w:rsid w:val="00231176"/>
    <w:rsid w:val="002414D0"/>
    <w:rsid w:val="0024211F"/>
    <w:rsid w:val="00271018"/>
    <w:rsid w:val="00297A09"/>
    <w:rsid w:val="002A0483"/>
    <w:rsid w:val="002C04D1"/>
    <w:rsid w:val="003303C8"/>
    <w:rsid w:val="00347A57"/>
    <w:rsid w:val="003C5A8F"/>
    <w:rsid w:val="003F7485"/>
    <w:rsid w:val="003F78AF"/>
    <w:rsid w:val="00417400"/>
    <w:rsid w:val="00417764"/>
    <w:rsid w:val="004272A4"/>
    <w:rsid w:val="004B32AA"/>
    <w:rsid w:val="004D74BB"/>
    <w:rsid w:val="004E2DAD"/>
    <w:rsid w:val="00547F2F"/>
    <w:rsid w:val="0057162A"/>
    <w:rsid w:val="00573F8B"/>
    <w:rsid w:val="0059349D"/>
    <w:rsid w:val="00595E39"/>
    <w:rsid w:val="005E1017"/>
    <w:rsid w:val="00613FB3"/>
    <w:rsid w:val="00643A81"/>
    <w:rsid w:val="00644B36"/>
    <w:rsid w:val="00666DAC"/>
    <w:rsid w:val="006848AA"/>
    <w:rsid w:val="006D5421"/>
    <w:rsid w:val="006D5775"/>
    <w:rsid w:val="006F6B2C"/>
    <w:rsid w:val="00731513"/>
    <w:rsid w:val="007854F2"/>
    <w:rsid w:val="007C5456"/>
    <w:rsid w:val="007C60F7"/>
    <w:rsid w:val="008243D8"/>
    <w:rsid w:val="0083293D"/>
    <w:rsid w:val="00844F53"/>
    <w:rsid w:val="009764D5"/>
    <w:rsid w:val="00986176"/>
    <w:rsid w:val="009D2DC6"/>
    <w:rsid w:val="009E49E7"/>
    <w:rsid w:val="00A2299A"/>
    <w:rsid w:val="00A233D0"/>
    <w:rsid w:val="00A7449D"/>
    <w:rsid w:val="00A849FA"/>
    <w:rsid w:val="00AA6571"/>
    <w:rsid w:val="00AC4515"/>
    <w:rsid w:val="00AC5DA7"/>
    <w:rsid w:val="00AD0ADC"/>
    <w:rsid w:val="00B84A8B"/>
    <w:rsid w:val="00C011D0"/>
    <w:rsid w:val="00C45350"/>
    <w:rsid w:val="00C83AD5"/>
    <w:rsid w:val="00CC6BCC"/>
    <w:rsid w:val="00D14416"/>
    <w:rsid w:val="00D34E74"/>
    <w:rsid w:val="00D52A7E"/>
    <w:rsid w:val="00D61641"/>
    <w:rsid w:val="00D7180C"/>
    <w:rsid w:val="00D72D14"/>
    <w:rsid w:val="00D97D91"/>
    <w:rsid w:val="00DB5772"/>
    <w:rsid w:val="00DB60EB"/>
    <w:rsid w:val="00DC41B3"/>
    <w:rsid w:val="00DC4950"/>
    <w:rsid w:val="00DF5246"/>
    <w:rsid w:val="00E028EE"/>
    <w:rsid w:val="00E52280"/>
    <w:rsid w:val="00E905B6"/>
    <w:rsid w:val="00EF4EAA"/>
    <w:rsid w:val="00F010F9"/>
    <w:rsid w:val="00F202D6"/>
    <w:rsid w:val="00F327C4"/>
    <w:rsid w:val="00F369D2"/>
    <w:rsid w:val="00F55830"/>
    <w:rsid w:val="00F74CDC"/>
    <w:rsid w:val="00F8504A"/>
    <w:rsid w:val="00FA1DDE"/>
    <w:rsid w:val="00FA7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D1B2"/>
  <w15:chartTrackingRefBased/>
  <w15:docId w15:val="{4551915F-1426-4320-8AD3-E798355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D0"/>
  </w:style>
  <w:style w:type="paragraph" w:styleId="Heading2">
    <w:name w:val="heading 2"/>
    <w:basedOn w:val="Normal"/>
    <w:link w:val="Heading2Char"/>
    <w:uiPriority w:val="9"/>
    <w:qFormat/>
    <w:rsid w:val="003F78A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3D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233D0"/>
    <w:rPr>
      <w:color w:val="0000FF"/>
      <w:u w:val="single"/>
    </w:rPr>
  </w:style>
  <w:style w:type="character" w:customStyle="1" w:styleId="Heading2Char">
    <w:name w:val="Heading 2 Char"/>
    <w:basedOn w:val="DefaultParagraphFont"/>
    <w:link w:val="Heading2"/>
    <w:uiPriority w:val="9"/>
    <w:rsid w:val="003F78AF"/>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644B36"/>
    <w:pPr>
      <w:ind w:left="720"/>
      <w:contextualSpacing/>
    </w:pPr>
  </w:style>
  <w:style w:type="character" w:styleId="Strong">
    <w:name w:val="Strong"/>
    <w:basedOn w:val="DefaultParagraphFont"/>
    <w:uiPriority w:val="22"/>
    <w:qFormat/>
    <w:rsid w:val="003F7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28080">
      <w:bodyDiv w:val="1"/>
      <w:marLeft w:val="0"/>
      <w:marRight w:val="0"/>
      <w:marTop w:val="0"/>
      <w:marBottom w:val="0"/>
      <w:divBdr>
        <w:top w:val="none" w:sz="0" w:space="0" w:color="auto"/>
        <w:left w:val="none" w:sz="0" w:space="0" w:color="auto"/>
        <w:bottom w:val="none" w:sz="0" w:space="0" w:color="auto"/>
        <w:right w:val="none" w:sz="0" w:space="0" w:color="auto"/>
      </w:divBdr>
    </w:div>
    <w:div w:id="1245459994">
      <w:bodyDiv w:val="1"/>
      <w:marLeft w:val="0"/>
      <w:marRight w:val="0"/>
      <w:marTop w:val="0"/>
      <w:marBottom w:val="0"/>
      <w:divBdr>
        <w:top w:val="none" w:sz="0" w:space="0" w:color="auto"/>
        <w:left w:val="none" w:sz="0" w:space="0" w:color="auto"/>
        <w:bottom w:val="none" w:sz="0" w:space="0" w:color="auto"/>
        <w:right w:val="none" w:sz="0" w:space="0" w:color="auto"/>
      </w:divBdr>
    </w:div>
    <w:div w:id="1300259323">
      <w:bodyDiv w:val="1"/>
      <w:marLeft w:val="0"/>
      <w:marRight w:val="0"/>
      <w:marTop w:val="0"/>
      <w:marBottom w:val="0"/>
      <w:divBdr>
        <w:top w:val="none" w:sz="0" w:space="0" w:color="auto"/>
        <w:left w:val="none" w:sz="0" w:space="0" w:color="auto"/>
        <w:bottom w:val="none" w:sz="0" w:space="0" w:color="auto"/>
        <w:right w:val="none" w:sz="0" w:space="0" w:color="auto"/>
      </w:divBdr>
      <w:divsChild>
        <w:div w:id="1742098016">
          <w:marLeft w:val="0"/>
          <w:marRight w:val="0"/>
          <w:marTop w:val="0"/>
          <w:marBottom w:val="375"/>
          <w:divBdr>
            <w:top w:val="none" w:sz="0" w:space="0" w:color="auto"/>
            <w:left w:val="none" w:sz="0" w:space="0" w:color="auto"/>
            <w:bottom w:val="none" w:sz="0" w:space="0" w:color="auto"/>
            <w:right w:val="none" w:sz="0" w:space="0" w:color="auto"/>
          </w:divBdr>
        </w:div>
      </w:divsChild>
    </w:div>
    <w:div w:id="1617642484">
      <w:bodyDiv w:val="1"/>
      <w:marLeft w:val="0"/>
      <w:marRight w:val="0"/>
      <w:marTop w:val="0"/>
      <w:marBottom w:val="0"/>
      <w:divBdr>
        <w:top w:val="none" w:sz="0" w:space="0" w:color="auto"/>
        <w:left w:val="none" w:sz="0" w:space="0" w:color="auto"/>
        <w:bottom w:val="none" w:sz="0" w:space="0" w:color="auto"/>
        <w:right w:val="none" w:sz="0" w:space="0" w:color="auto"/>
      </w:divBdr>
      <w:divsChild>
        <w:div w:id="2044866846">
          <w:marLeft w:val="0"/>
          <w:marRight w:val="0"/>
          <w:marTop w:val="0"/>
          <w:marBottom w:val="450"/>
          <w:divBdr>
            <w:top w:val="none" w:sz="0" w:space="0" w:color="auto"/>
            <w:left w:val="none" w:sz="0" w:space="0" w:color="auto"/>
            <w:bottom w:val="none" w:sz="0" w:space="0" w:color="auto"/>
            <w:right w:val="none" w:sz="0" w:space="0" w:color="auto"/>
          </w:divBdr>
        </w:div>
      </w:divsChild>
    </w:div>
    <w:div w:id="20696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heverge.com/2021/6/8/22524663/us-lithium-battery-supply-chain-bro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Ranganathan</dc:creator>
  <cp:keywords/>
  <dc:description/>
  <cp:lastModifiedBy>Srikanth Ranganathan</cp:lastModifiedBy>
  <cp:revision>95</cp:revision>
  <dcterms:created xsi:type="dcterms:W3CDTF">2023-02-18T00:25:00Z</dcterms:created>
  <dcterms:modified xsi:type="dcterms:W3CDTF">2023-02-22T17:32:00Z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11905c07f016cd16ea2f55a70257b241eb4c5c62030a610d8e18515a3da80807</vt:lpwstr>
  </property>
</Properties>
</file>